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both"/>
        <w:rPr>
          <w:rFonts w:hint="eastAsia" w:ascii="方正小标宋简体" w:hAnsi="方正小标宋简体" w:eastAsia="方正小标宋简体" w:cs="方正小标宋简体"/>
          <w:spacing w:val="113"/>
          <w:sz w:val="44"/>
          <w:szCs w:val="24"/>
        </w:rPr>
      </w:pPr>
    </w:p>
    <w:p>
      <w:pPr>
        <w:spacing w:line="560" w:lineRule="exact"/>
        <w:jc w:val="center"/>
        <w:rPr>
          <w:rFonts w:hint="eastAsia" w:ascii="方正小标宋简体" w:hAnsi="方正小标宋简体" w:eastAsia="方正小标宋简体" w:cs="方正小标宋简体"/>
          <w:spacing w:val="113"/>
          <w:sz w:val="44"/>
          <w:szCs w:val="24"/>
        </w:rPr>
      </w:pPr>
      <w:r>
        <w:rPr>
          <w:rFonts w:hint="eastAsia" w:ascii="方正小标宋简体" w:hAnsi="方正小标宋简体" w:eastAsia="方正小标宋简体" w:cs="方正小标宋简体"/>
          <w:spacing w:val="28"/>
          <w:sz w:val="44"/>
          <w:szCs w:val="44"/>
        </w:rPr>
        <w:t>内蒙古自治区特种设备检验研究院</w:t>
      </w:r>
    </w:p>
    <w:p>
      <w:pPr>
        <w:spacing w:line="560" w:lineRule="exact"/>
        <w:jc w:val="center"/>
        <w:rPr>
          <w:rFonts w:ascii="方正小标宋简体" w:hAnsi="方正小标宋简体" w:eastAsia="方正小标宋简体" w:cs="方正小标宋简体"/>
          <w:spacing w:val="113"/>
          <w:sz w:val="44"/>
          <w:szCs w:val="24"/>
        </w:rPr>
      </w:pPr>
      <w:r>
        <w:rPr>
          <w:rFonts w:hint="eastAsia" w:ascii="方正小标宋简体" w:hAnsi="方正小标宋简体" w:eastAsia="方正小标宋简体" w:cs="方正小标宋简体"/>
          <w:spacing w:val="113"/>
          <w:sz w:val="44"/>
          <w:szCs w:val="24"/>
        </w:rPr>
        <w:t>2022年部门预算</w:t>
      </w:r>
    </w:p>
    <w:p>
      <w:pPr>
        <w:spacing w:line="560" w:lineRule="exact"/>
        <w:jc w:val="center"/>
        <w:rPr>
          <w:rFonts w:ascii="方正小标宋简体" w:hAnsi="方正小标宋简体" w:eastAsia="方正小标宋简体" w:cs="方正小标宋简体"/>
          <w:spacing w:val="113"/>
          <w:sz w:val="44"/>
          <w:szCs w:val="24"/>
        </w:rPr>
      </w:pPr>
      <w:r>
        <w:rPr>
          <w:rFonts w:hint="eastAsia" w:ascii="方正小标宋简体" w:hAnsi="方正小标宋简体" w:eastAsia="方正小标宋简体" w:cs="方正小标宋简体"/>
          <w:spacing w:val="113"/>
          <w:sz w:val="44"/>
          <w:szCs w:val="24"/>
        </w:rPr>
        <w:t>公开报告</w:t>
      </w: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rPr>
          <w:rFonts w:ascii="宋体" w:hAnsi="宋体"/>
          <w:b/>
          <w:bCs/>
          <w:sz w:val="44"/>
        </w:rPr>
      </w:pPr>
    </w:p>
    <w:p>
      <w:pPr>
        <w:spacing w:line="560" w:lineRule="exact"/>
        <w:jc w:val="center"/>
        <w:rPr>
          <w:rFonts w:ascii="宋体" w:hAnsi="宋体"/>
          <w:b/>
          <w:bCs/>
          <w:sz w:val="44"/>
        </w:rPr>
      </w:pPr>
    </w:p>
    <w:p>
      <w:pPr>
        <w:spacing w:line="560" w:lineRule="exact"/>
        <w:jc w:val="center"/>
        <w:rPr>
          <w:rFonts w:ascii="仿宋_GB2312" w:hAnsi="宋体" w:eastAsia="仿宋_GB2312" w:cs="Times New Roman"/>
          <w:bCs/>
          <w:sz w:val="32"/>
          <w:szCs w:val="32"/>
        </w:rPr>
      </w:pPr>
      <w:r>
        <w:rPr>
          <w:rFonts w:hint="eastAsia" w:ascii="仿宋_GB2312" w:hAnsi="宋体" w:eastAsia="仿宋_GB2312" w:cs="Times New Roman"/>
          <w:bCs/>
          <w:sz w:val="32"/>
          <w:szCs w:val="32"/>
        </w:rPr>
        <w:t>内蒙古自治区特种设备检验研究院</w:t>
      </w:r>
    </w:p>
    <w:p>
      <w:pPr>
        <w:spacing w:line="560" w:lineRule="exact"/>
        <w:jc w:val="center"/>
        <w:rPr>
          <w:rFonts w:ascii="仿宋_GB2312" w:hAnsi="宋体" w:eastAsia="仿宋_GB2312" w:cs="Times New Roman"/>
          <w:bCs/>
          <w:sz w:val="32"/>
          <w:szCs w:val="32"/>
        </w:rPr>
      </w:pPr>
      <w:r>
        <w:rPr>
          <w:rFonts w:hint="eastAsia" w:ascii="仿宋_GB2312" w:hAnsi="宋体" w:eastAsia="仿宋_GB2312" w:cs="Times New Roman"/>
          <w:bCs/>
          <w:sz w:val="32"/>
          <w:szCs w:val="32"/>
        </w:rPr>
        <w:t>2022年2月2</w:t>
      </w:r>
      <w:r>
        <w:rPr>
          <w:rFonts w:hint="eastAsia" w:ascii="仿宋_GB2312" w:hAnsi="宋体" w:eastAsia="仿宋_GB2312" w:cs="Times New Roman"/>
          <w:bCs/>
          <w:sz w:val="32"/>
          <w:szCs w:val="32"/>
          <w:lang w:val="en-US" w:eastAsia="zh-CN"/>
        </w:rPr>
        <w:t>5</w:t>
      </w:r>
      <w:r>
        <w:rPr>
          <w:rFonts w:hint="eastAsia" w:ascii="仿宋_GB2312" w:hAnsi="宋体" w:eastAsia="仿宋_GB2312" w:cs="Times New Roman"/>
          <w:bCs/>
          <w:sz w:val="32"/>
          <w:szCs w:val="32"/>
        </w:rPr>
        <w:t>日</w:t>
      </w:r>
    </w:p>
    <w:p>
      <w:pPr>
        <w:spacing w:line="560" w:lineRule="exact"/>
        <w:rPr>
          <w:rFonts w:ascii="宋体" w:hAnsi="宋体"/>
          <w:b/>
          <w:bCs/>
          <w:sz w:val="44"/>
        </w:rPr>
      </w:pPr>
    </w:p>
    <w:p>
      <w:pPr>
        <w:jc w:val="center"/>
        <w:rPr>
          <w:rFonts w:ascii="宋体" w:hAnsi="宋体"/>
          <w:b/>
          <w:bCs/>
          <w:sz w:val="44"/>
        </w:rPr>
      </w:pPr>
    </w:p>
    <w:p>
      <w:pPr>
        <w:jc w:val="center"/>
        <w:rPr>
          <w:rFonts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目    录</w:t>
      </w:r>
    </w:p>
    <w:p>
      <w:pPr>
        <w:spacing w:line="520" w:lineRule="exact"/>
        <w:rPr>
          <w:rFonts w:ascii="仿宋_GB2312" w:hAnsi="宋体" w:eastAsia="仿宋_GB2312" w:cs="Times New Roman"/>
          <w:b/>
          <w:bCs/>
          <w:sz w:val="36"/>
          <w:szCs w:val="36"/>
        </w:rPr>
      </w:pPr>
      <w:r>
        <w:rPr>
          <w:rFonts w:hint="eastAsia" w:ascii="仿宋_GB2312" w:hAnsi="宋体" w:eastAsia="仿宋_GB2312" w:cs="Times New Roman"/>
          <w:b/>
          <w:bCs/>
          <w:sz w:val="36"/>
          <w:szCs w:val="36"/>
        </w:rPr>
        <w:t>第一部分 内蒙古自治区特种设备检验研究院概况</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一、主要职能</w:t>
      </w:r>
    </w:p>
    <w:p>
      <w:pPr>
        <w:spacing w:line="520" w:lineRule="exact"/>
        <w:ind w:firstLine="640" w:firstLineChars="200"/>
        <w:rPr>
          <w:rFonts w:ascii="仿宋" w:hAnsi="仿宋" w:eastAsia="仿宋" w:cs="仿宋"/>
          <w:color w:val="000000"/>
          <w:sz w:val="32"/>
          <w:szCs w:val="32"/>
        </w:rPr>
      </w:pPr>
      <w:r>
        <w:rPr>
          <w:rFonts w:hint="eastAsia" w:ascii="仿宋_GB2312" w:hAnsi="宋体" w:eastAsia="仿宋_GB2312"/>
          <w:bCs/>
          <w:sz w:val="32"/>
          <w:szCs w:val="32"/>
        </w:rPr>
        <w:t>二、机构设置及部门预算单位构成</w:t>
      </w:r>
    </w:p>
    <w:p>
      <w:pPr>
        <w:spacing w:line="520" w:lineRule="exact"/>
        <w:rPr>
          <w:rFonts w:ascii="仿宋" w:hAnsi="仿宋" w:eastAsia="仿宋" w:cs="仿宋"/>
          <w:sz w:val="32"/>
          <w:szCs w:val="32"/>
        </w:rPr>
      </w:pPr>
      <w:r>
        <w:rPr>
          <w:rFonts w:hint="eastAsia" w:ascii="仿宋_GB2312" w:hAnsi="宋体" w:eastAsia="仿宋_GB2312"/>
          <w:b/>
          <w:bCs/>
          <w:sz w:val="36"/>
          <w:szCs w:val="36"/>
        </w:rPr>
        <w:t>第二部分 2022年部门预算安排情况说明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一、2022年公共预算收支情况的总体说明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二、2022年一般公共预算拨款收支情况说明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三、政府性基金预算拨款支出预算的情况说明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四、国有资本经营预算拨款支出预算的情况说明</w:t>
      </w:r>
    </w:p>
    <w:p>
      <w:pPr>
        <w:numPr>
          <w:ilvl w:val="0"/>
          <w:numId w:val="1"/>
        </w:numPr>
        <w:spacing w:line="520" w:lineRule="exact"/>
        <w:rPr>
          <w:rFonts w:ascii="仿宋" w:hAnsi="仿宋" w:eastAsia="仿宋" w:cs="仿宋"/>
          <w:sz w:val="32"/>
          <w:szCs w:val="32"/>
        </w:rPr>
      </w:pPr>
      <w:r>
        <w:rPr>
          <w:rFonts w:hint="eastAsia" w:ascii="仿宋" w:hAnsi="仿宋" w:eastAsia="仿宋" w:cs="仿宋"/>
          <w:sz w:val="32"/>
          <w:szCs w:val="32"/>
        </w:rPr>
        <w:t>“三公经费”财政拨款支出预算的情况说明</w:t>
      </w:r>
    </w:p>
    <w:p>
      <w:pPr>
        <w:spacing w:line="520" w:lineRule="exact"/>
        <w:rPr>
          <w:rFonts w:ascii="仿宋_GB2312" w:hAnsi="宋体" w:eastAsia="仿宋_GB2312"/>
          <w:b/>
          <w:bCs/>
          <w:sz w:val="36"/>
          <w:szCs w:val="36"/>
        </w:rPr>
      </w:pPr>
      <w:r>
        <w:rPr>
          <w:rFonts w:hint="eastAsia" w:ascii="仿宋_GB2312" w:hAnsi="宋体" w:eastAsia="仿宋_GB2312"/>
          <w:b/>
          <w:bCs/>
          <w:sz w:val="36"/>
          <w:szCs w:val="36"/>
        </w:rPr>
        <w:t>第三部分 其他公开事项说明</w:t>
      </w:r>
    </w:p>
    <w:p>
      <w:pPr>
        <w:spacing w:line="520" w:lineRule="exact"/>
        <w:ind w:left="180" w:firstLine="640" w:firstLineChars="200"/>
        <w:rPr>
          <w:rFonts w:ascii="仿宋" w:hAnsi="仿宋" w:eastAsia="仿宋" w:cs="仿宋"/>
          <w:sz w:val="32"/>
          <w:szCs w:val="32"/>
        </w:rPr>
      </w:pPr>
      <w:r>
        <w:rPr>
          <w:rFonts w:hint="eastAsia" w:ascii="仿宋" w:hAnsi="仿宋" w:eastAsia="仿宋" w:cs="仿宋"/>
          <w:sz w:val="32"/>
          <w:szCs w:val="32"/>
        </w:rPr>
        <w:t>一、机关运行经费安排情况说明</w:t>
      </w:r>
    </w:p>
    <w:p>
      <w:pPr>
        <w:spacing w:line="520" w:lineRule="exact"/>
        <w:ind w:left="180" w:firstLine="640" w:firstLineChars="200"/>
        <w:rPr>
          <w:rFonts w:ascii="仿宋" w:hAnsi="仿宋" w:eastAsia="仿宋" w:cs="仿宋"/>
          <w:sz w:val="32"/>
          <w:szCs w:val="32"/>
        </w:rPr>
      </w:pPr>
      <w:r>
        <w:rPr>
          <w:rFonts w:hint="eastAsia" w:ascii="仿宋" w:hAnsi="仿宋" w:eastAsia="仿宋" w:cs="仿宋"/>
          <w:sz w:val="32"/>
          <w:szCs w:val="32"/>
        </w:rPr>
        <w:t>二、“政府采购计划”预算情况说明</w:t>
      </w:r>
    </w:p>
    <w:p>
      <w:pPr>
        <w:spacing w:line="520" w:lineRule="exact"/>
        <w:ind w:left="180" w:firstLine="640" w:firstLineChars="200"/>
        <w:rPr>
          <w:rFonts w:ascii="仿宋" w:hAnsi="仿宋" w:eastAsia="仿宋" w:cs="仿宋"/>
          <w:sz w:val="32"/>
          <w:szCs w:val="32"/>
        </w:rPr>
      </w:pPr>
      <w:r>
        <w:rPr>
          <w:rFonts w:hint="eastAsia" w:ascii="仿宋" w:hAnsi="仿宋" w:eastAsia="仿宋" w:cs="仿宋"/>
          <w:sz w:val="32"/>
          <w:szCs w:val="32"/>
        </w:rPr>
        <w:t>三、国有资产占有使用和增量情况说明</w:t>
      </w:r>
    </w:p>
    <w:p>
      <w:pPr>
        <w:spacing w:line="520" w:lineRule="exact"/>
        <w:ind w:left="180" w:firstLine="640" w:firstLineChars="200"/>
        <w:rPr>
          <w:rFonts w:ascii="仿宋" w:hAnsi="仿宋" w:eastAsia="仿宋" w:cs="仿宋"/>
          <w:sz w:val="32"/>
          <w:szCs w:val="32"/>
        </w:rPr>
      </w:pPr>
      <w:r>
        <w:rPr>
          <w:rFonts w:hint="eastAsia" w:ascii="仿宋" w:hAnsi="仿宋" w:eastAsia="仿宋" w:cs="仿宋"/>
          <w:sz w:val="32"/>
          <w:szCs w:val="32"/>
        </w:rPr>
        <w:t>四、部门组织征收收入计划</w:t>
      </w:r>
    </w:p>
    <w:p>
      <w:pPr>
        <w:spacing w:line="520" w:lineRule="exact"/>
        <w:ind w:left="180" w:firstLine="640" w:firstLineChars="200"/>
        <w:rPr>
          <w:rFonts w:ascii="仿宋" w:hAnsi="仿宋" w:eastAsia="仿宋" w:cs="仿宋"/>
          <w:sz w:val="32"/>
          <w:szCs w:val="32"/>
        </w:rPr>
      </w:pPr>
      <w:r>
        <w:rPr>
          <w:rFonts w:hint="eastAsia" w:ascii="仿宋" w:hAnsi="仿宋" w:eastAsia="仿宋" w:cs="仿宋"/>
          <w:sz w:val="32"/>
          <w:szCs w:val="32"/>
        </w:rPr>
        <w:t>五、绩效目标设置情况说明</w:t>
      </w:r>
    </w:p>
    <w:p>
      <w:pPr>
        <w:spacing w:line="520" w:lineRule="exact"/>
        <w:rPr>
          <w:rFonts w:ascii="宋体" w:hAnsi="宋体"/>
          <w:b/>
          <w:bCs/>
          <w:sz w:val="44"/>
        </w:rPr>
      </w:pPr>
      <w:r>
        <w:rPr>
          <w:rFonts w:hint="eastAsia" w:ascii="仿宋_GB2312" w:hAnsi="宋体" w:eastAsia="仿宋_GB2312"/>
          <w:b/>
          <w:bCs/>
          <w:sz w:val="36"/>
          <w:szCs w:val="36"/>
        </w:rPr>
        <w:t>第四部分  名词解释</w:t>
      </w:r>
    </w:p>
    <w:p>
      <w:pPr>
        <w:spacing w:line="520" w:lineRule="exact"/>
        <w:rPr>
          <w:rFonts w:ascii="仿宋_GB2312" w:hAnsi="宋体" w:eastAsia="仿宋_GB2312"/>
          <w:b/>
          <w:bCs/>
          <w:sz w:val="36"/>
          <w:szCs w:val="36"/>
        </w:rPr>
      </w:pPr>
      <w:r>
        <w:rPr>
          <w:rFonts w:hint="eastAsia" w:ascii="仿宋_GB2312" w:hAnsi="宋体" w:eastAsia="仿宋_GB2312"/>
          <w:b/>
          <w:bCs/>
          <w:sz w:val="36"/>
          <w:szCs w:val="36"/>
        </w:rPr>
        <w:t>第五部分  2022年部门预算公开表</w:t>
      </w: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r>
        <w:rPr>
          <w:rFonts w:hint="eastAsia" w:ascii="微软雅黑" w:hAnsi="微软雅黑" w:eastAsia="微软雅黑"/>
          <w:sz w:val="28"/>
          <w:szCs w:val="28"/>
        </w:rPr>
        <w:t xml:space="preserve">             </w:t>
      </w:r>
      <w:r>
        <w:rPr>
          <w:rFonts w:hint="eastAsia" w:ascii="微软雅黑" w:hAnsi="微软雅黑" w:eastAsia="微软雅黑"/>
          <w:b/>
          <w:sz w:val="28"/>
          <w:szCs w:val="28"/>
        </w:rPr>
        <w:t xml:space="preserve"> </w:t>
      </w: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 xml:space="preserve">第一部分 </w:t>
      </w: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内蒙古自治区特种设备检验研究院概况</w:t>
      </w: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both"/>
        <w:rPr>
          <w:rFonts w:ascii="微软雅黑" w:hAnsi="微软雅黑" w:eastAsia="微软雅黑"/>
          <w:b/>
          <w:sz w:val="28"/>
          <w:szCs w:val="28"/>
        </w:rPr>
      </w:pP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一、主要职能</w:t>
      </w:r>
    </w:p>
    <w:p>
      <w:pPr>
        <w:widowControl/>
        <w:spacing w:line="58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（一）部门职能</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中共内蒙古自治区委员会机构编制委员会印发的《关于自治区市场监督管理局所属事业单位机构职能的批复》（内机编办发〔2020〕148号），设立内蒙古自治区特种设备检验研究院，为自治区市场监督管理局所属相当于正处级公益二类事业单位。</w:t>
      </w:r>
    </w:p>
    <w:p>
      <w:pPr>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（二）主要职责</w:t>
      </w:r>
    </w:p>
    <w:p>
      <w:pPr>
        <w:pStyle w:val="5"/>
        <w:spacing w:before="0" w:after="0" w:line="580" w:lineRule="exact"/>
        <w:ind w:righ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1.开展特种设备（含进口）监督检验、定期检验、仲裁检验、司法鉴定、型式试验、锅炉水 （介）质检验、无损检测、能效测试、材料分析、环保检测、安全阀校验及其他阁门检验。</w:t>
      </w:r>
    </w:p>
    <w:p>
      <w:pPr>
        <w:pStyle w:val="5"/>
        <w:spacing w:before="0" w:after="0" w:line="580" w:lineRule="exact"/>
        <w:ind w:righ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2.承担特种设备安全附件、仪表及安全保护装置的检验工作。</w:t>
      </w:r>
    </w:p>
    <w:p>
      <w:pPr>
        <w:pStyle w:val="5"/>
        <w:spacing w:before="0" w:after="0" w:line="580" w:lineRule="exact"/>
        <w:ind w:righ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3.开展长输管道、公用管道、厂（场）内机动车辆、大型游乐设施等野外在用特种设备检验检测工作。</w:t>
      </w:r>
    </w:p>
    <w:p>
      <w:pPr>
        <w:pStyle w:val="5"/>
        <w:spacing w:before="0" w:after="0" w:line="580" w:lineRule="exact"/>
        <w:ind w:righ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4.承担安全生产、职业卫生、烟花爆竹、劳动防护用品等检测与评价工作。</w:t>
      </w:r>
    </w:p>
    <w:p>
      <w:pPr>
        <w:pStyle w:val="5"/>
        <w:spacing w:before="0" w:after="0" w:line="580" w:lineRule="exact"/>
        <w:ind w:righ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5.承担安全生产、特种设备及相关领域从业人员的法规宣传、技能培训，协助做好从业人员相关考核工作。</w:t>
      </w:r>
    </w:p>
    <w:p>
      <w:pPr>
        <w:pStyle w:val="5"/>
        <w:spacing w:before="0" w:after="0" w:line="580" w:lineRule="exact"/>
        <w:ind w:righ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6.承担特种设备相关科学研究、成果转化和推广应用工作。</w:t>
      </w:r>
    </w:p>
    <w:p>
      <w:pPr>
        <w:pStyle w:val="5"/>
        <w:spacing w:before="0" w:after="0" w:line="580" w:lineRule="exact"/>
        <w:ind w:righ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7.按取得资质开展相关业外及共他委托性检验检测、技术服务工作。</w:t>
      </w:r>
    </w:p>
    <w:p>
      <w:pPr>
        <w:pStyle w:val="5"/>
        <w:spacing w:before="0" w:after="0" w:line="580" w:lineRule="exact"/>
        <w:ind w:righ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8.承担自治区市场监督管理局交办的其他相关工作。</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二、机构设置及部门预算单位构成</w:t>
      </w:r>
    </w:p>
    <w:tbl>
      <w:tblPr>
        <w:tblStyle w:val="7"/>
        <w:tblpPr w:leftFromText="180" w:rightFromText="180" w:vertAnchor="text" w:horzAnchor="page" w:tblpX="1890" w:tblpY="2506"/>
        <w:tblOverlap w:val="never"/>
        <w:tblW w:w="8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4908"/>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预算编码</w:t>
            </w:r>
          </w:p>
        </w:tc>
        <w:tc>
          <w:tcPr>
            <w:tcW w:w="4908" w:type="dxa"/>
            <w:vAlign w:val="center"/>
          </w:tcPr>
          <w:p>
            <w:pPr>
              <w:pStyle w:val="5"/>
              <w:spacing w:before="0" w:after="0" w:line="580" w:lineRule="exact"/>
              <w:ind w:right="0"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单位名称</w:t>
            </w:r>
          </w:p>
        </w:tc>
        <w:tc>
          <w:tcPr>
            <w:tcW w:w="2025" w:type="dxa"/>
            <w:vAlign w:val="center"/>
          </w:tcPr>
          <w:p>
            <w:pPr>
              <w:pStyle w:val="5"/>
              <w:spacing w:before="0" w:after="0" w:line="580" w:lineRule="exact"/>
              <w:ind w:right="0"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509046001</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内蒙古自治区特种设备检验研究院</w:t>
            </w:r>
            <w:r>
              <w:rPr>
                <w:rFonts w:hint="eastAsia" w:asciiTheme="minorEastAsia" w:hAnsiTheme="minorEastAsia" w:eastAsiaTheme="minorEastAsia" w:cstheme="minorEastAsia"/>
                <w:sz w:val="21"/>
                <w:szCs w:val="21"/>
                <w:lang w:eastAsia="zh-CN"/>
              </w:rPr>
              <w:t>（本级）</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09046002</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内蒙古自治区特种设备检验研究院呼伦贝尔分院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509046003</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内蒙古自治区特种设备检验研究院兴安分院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509046004</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内蒙古自治区特种设备检验研究院通辽分院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509046005</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内蒙古自治区特种设备检验研究院锡林郭勒分院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509046006</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内蒙古自治区特种设备检验研究院乌兰察布分院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509046007</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内蒙古自治区特种设备检验研究院鄂尔多斯分院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509046008</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内蒙古自治区特种设备检验研究院巴彦淖尔分院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509046009</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内蒙古自治区特种设备检验研究院阿拉善分院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509046010</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内蒙古自治区特种设备检验研究院包头分院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509046011</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内蒙古自治区特种设备检验研究院乌海分院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509046012</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内蒙古自治区特种设备检验研究院赤峰分院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509046013</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内蒙古自治区特种设备检验研究院二连分院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0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509046014</w:t>
            </w:r>
          </w:p>
        </w:tc>
        <w:tc>
          <w:tcPr>
            <w:tcW w:w="4908"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内蒙古自治区特种设备检验研究院满洲里分院</w:t>
            </w:r>
          </w:p>
        </w:tc>
        <w:tc>
          <w:tcPr>
            <w:tcW w:w="2025" w:type="dxa"/>
            <w:vAlign w:val="center"/>
          </w:tcPr>
          <w:p>
            <w:pPr>
              <w:pStyle w:val="5"/>
              <w:spacing w:before="0" w:after="0" w:line="580" w:lineRule="exact"/>
              <w:ind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公益二类事业单位</w:t>
            </w:r>
          </w:p>
        </w:tc>
      </w:tr>
    </w:tbl>
    <w:p>
      <w:pPr>
        <w:tabs>
          <w:tab w:val="left" w:pos="3532"/>
        </w:tabs>
        <w:autoSpaceDE w:val="0"/>
        <w:autoSpaceDN w:val="0"/>
        <w:adjustRightInd w:val="0"/>
        <w:spacing w:line="560" w:lineRule="exact"/>
        <w:ind w:firstLine="640" w:firstLineChars="200"/>
        <w:rPr>
          <w:rFonts w:hint="eastAsia" w:ascii="黑体" w:hAnsi="黑体" w:eastAsia="仿宋_GB2312" w:cs="黑体"/>
          <w:bCs/>
          <w:sz w:val="32"/>
          <w:szCs w:val="32"/>
          <w:lang w:val="en-US" w:eastAsia="zh-CN"/>
        </w:rPr>
      </w:pPr>
      <w:r>
        <w:rPr>
          <w:rFonts w:hint="eastAsia" w:ascii="仿宋_GB2312" w:hAnsi="宋体" w:eastAsia="仿宋_GB2312"/>
          <w:bCs/>
          <w:sz w:val="32"/>
          <w:szCs w:val="32"/>
        </w:rPr>
        <w:t>1</w:t>
      </w:r>
      <w:r>
        <w:rPr>
          <w:rFonts w:hint="eastAsia" w:ascii="仿宋_GB2312" w:hAnsi="宋体" w:eastAsia="仿宋_GB2312"/>
          <w:bCs/>
          <w:sz w:val="32"/>
          <w:szCs w:val="32"/>
          <w:lang w:val="en-US" w:eastAsia="zh-CN"/>
        </w:rPr>
        <w:t>.</w:t>
      </w:r>
      <w:r>
        <w:rPr>
          <w:rFonts w:hint="eastAsia" w:ascii="仿宋_GB2312" w:hAnsi="宋体" w:eastAsia="仿宋_GB2312"/>
          <w:bCs/>
          <w:sz w:val="32"/>
          <w:szCs w:val="32"/>
        </w:rPr>
        <w:t>从预算单位构成看，内蒙古自治区特种设备检验研究院</w:t>
      </w:r>
      <w:r>
        <w:rPr>
          <w:rFonts w:hint="eastAsia" w:ascii="仿宋_GB2312" w:hAnsi="宋体" w:eastAsia="仿宋_GB2312"/>
          <w:bCs/>
          <w:sz w:val="32"/>
          <w:szCs w:val="32"/>
          <w:lang w:eastAsia="zh-CN"/>
        </w:rPr>
        <w:t>为内蒙古自治区市场监督管理局所属预算二级单位，下设含内蒙古自治区特种设备检验研究院本级及</w:t>
      </w:r>
      <w:r>
        <w:rPr>
          <w:rFonts w:hint="eastAsia" w:ascii="仿宋_GB2312" w:hAnsi="宋体" w:eastAsia="仿宋_GB2312"/>
          <w:bCs/>
          <w:sz w:val="32"/>
          <w:szCs w:val="32"/>
          <w:lang w:val="en-US" w:eastAsia="zh-CN"/>
        </w:rPr>
        <w:t>13个盟市分院共计14个预算三级单位。</w:t>
      </w:r>
    </w:p>
    <w:p>
      <w:pPr>
        <w:tabs>
          <w:tab w:val="left" w:pos="3532"/>
        </w:tabs>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内蒙古自治区特种设备检验研究院自治区院，核定事业编制66名，核定单位领导职数4名(2正2副)，科级领导职数18名【12正(含总工程师1名）6副】。内设正科级机构11个：党建办公室、综合管理部、计划财务部、业务与科研管理部、电梯检验部、机电设备与安全生产检验部、锅炉与安全附件检验部、压力容器检验部、压力管道检验部、气瓶检验部、职业卫生评价与节能服务部。事业编在职人员62人，聘用人员254人，退休人员60人。</w:t>
      </w:r>
    </w:p>
    <w:p>
      <w:pPr>
        <w:tabs>
          <w:tab w:val="left" w:pos="3532"/>
        </w:tabs>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下设驻盟市副处级分院11个、正科级分院2个，为总院分支机构，主要职责任务是：按资质完成总院分配的特种设备检验及相关工作。13个分支机构共核定事业编制527名，核定11个副处级分院领导职数44名【11正（分院院长11名，副处级）33副（分院副院长33名，正科级）】，分院内设机构科级领导职数88名（55正33副）；核定2个正科级分院领导职数6名【2正（分院院长2名，正科级）4副（分院副院长4名，副科级）】。</w:t>
      </w: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pStyle w:val="5"/>
        <w:spacing w:before="0" w:after="0" w:line="580" w:lineRule="exact"/>
        <w:ind w:right="0" w:firstLine="640" w:firstLineChars="200"/>
        <w:jc w:val="both"/>
        <w:rPr>
          <w:rFonts w:ascii="仿宋_GB2312" w:hAnsi="仿宋_GB2312" w:eastAsia="仿宋_GB2312" w:cs="仿宋_GB2312"/>
          <w:sz w:val="32"/>
          <w:szCs w:val="32"/>
        </w:rPr>
      </w:pPr>
    </w:p>
    <w:p>
      <w:pPr>
        <w:spacing w:line="560" w:lineRule="exact"/>
        <w:jc w:val="center"/>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第二部分</w:t>
      </w:r>
    </w:p>
    <w:p>
      <w:pPr>
        <w:spacing w:line="560" w:lineRule="exact"/>
        <w:jc w:val="center"/>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内蒙古自治区特种设备检验研究院</w:t>
      </w:r>
    </w:p>
    <w:p>
      <w:pPr>
        <w:spacing w:line="560" w:lineRule="exact"/>
        <w:jc w:val="center"/>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2022年部门预算安排情况说明</w:t>
      </w: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widowControl/>
        <w:spacing w:beforeLines="50" w:afterLines="50" w:line="360" w:lineRule="auto"/>
        <w:ind w:firstLine="640" w:firstLineChars="200"/>
        <w:jc w:val="left"/>
        <w:rPr>
          <w:rFonts w:ascii="黑体" w:hAnsi="黑体" w:eastAsia="黑体" w:cs="黑体"/>
          <w:bCs/>
          <w:sz w:val="32"/>
          <w:szCs w:val="32"/>
        </w:rPr>
      </w:pPr>
      <w:r>
        <w:rPr>
          <w:rFonts w:hint="eastAsia" w:ascii="黑体" w:hAnsi="黑体" w:eastAsia="黑体" w:cs="黑体"/>
          <w:bCs/>
          <w:sz w:val="32"/>
          <w:szCs w:val="32"/>
        </w:rPr>
        <w:t>一、2022年公共预算收支情况的总体说明</w:t>
      </w:r>
    </w:p>
    <w:p>
      <w:pPr>
        <w:widowControl/>
        <w:spacing w:beforeLines="50" w:afterLines="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2022年部门预算总收入为43</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171.80万元，无政府性基金预算拨款，其中：一般公共预算收入29</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090.70万元，占比67.38</w:t>
      </w:r>
      <w:r>
        <w:rPr>
          <w:rFonts w:ascii="仿宋_GB2312" w:hAnsi="宋体" w:eastAsia="仿宋_GB2312" w:cs="宋体"/>
          <w:kern w:val="0"/>
          <w:sz w:val="32"/>
          <w:szCs w:val="32"/>
        </w:rPr>
        <w:t>%</w:t>
      </w:r>
      <w:r>
        <w:rPr>
          <w:rFonts w:hint="eastAsia" w:ascii="仿宋_GB2312" w:hAnsi="宋体" w:eastAsia="仿宋_GB2312" w:cs="宋体"/>
          <w:kern w:val="0"/>
          <w:sz w:val="32"/>
          <w:szCs w:val="32"/>
        </w:rPr>
        <w:t>；事业单位经营收12</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315.00万元，占比28.53</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；其他收入5</w:t>
      </w:r>
      <w:r>
        <w:rPr>
          <w:rFonts w:ascii="仿宋_GB2312" w:hAnsi="宋体" w:eastAsia="仿宋_GB2312" w:cs="宋体"/>
          <w:kern w:val="0"/>
          <w:sz w:val="32"/>
          <w:szCs w:val="32"/>
        </w:rPr>
        <w:t>.00</w:t>
      </w:r>
      <w:r>
        <w:rPr>
          <w:rFonts w:hint="eastAsia" w:ascii="仿宋_GB2312" w:hAnsi="宋体" w:eastAsia="仿宋_GB2312" w:cs="宋体"/>
          <w:kern w:val="0"/>
          <w:sz w:val="32"/>
          <w:szCs w:val="32"/>
        </w:rPr>
        <w:t>万元，占比</w:t>
      </w:r>
      <w:r>
        <w:rPr>
          <w:rFonts w:ascii="仿宋_GB2312" w:hAnsi="宋体" w:eastAsia="仿宋_GB2312" w:cs="宋体"/>
          <w:kern w:val="0"/>
          <w:sz w:val="32"/>
          <w:szCs w:val="32"/>
        </w:rPr>
        <w:t>,0.0</w:t>
      </w: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r>
        <w:rPr>
          <w:rFonts w:ascii="仿宋_GB2312" w:hAnsi="宋体" w:eastAsia="仿宋_GB2312" w:cs="宋体"/>
          <w:kern w:val="0"/>
          <w:sz w:val="32"/>
          <w:szCs w:val="32"/>
        </w:rPr>
        <w:t>上年结转结余</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761.1</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万元（全部</w:t>
      </w:r>
      <w:r>
        <w:rPr>
          <w:rFonts w:ascii="仿宋_GB2312" w:hAnsi="宋体" w:eastAsia="仿宋_GB2312" w:cs="宋体"/>
          <w:kern w:val="0"/>
          <w:sz w:val="32"/>
          <w:szCs w:val="32"/>
        </w:rPr>
        <w:t>为财政资金结转</w:t>
      </w:r>
      <w:r>
        <w:rPr>
          <w:rFonts w:hint="eastAsia" w:ascii="仿宋_GB2312" w:hAnsi="宋体" w:eastAsia="仿宋_GB2312" w:cs="宋体"/>
          <w:kern w:val="0"/>
          <w:sz w:val="32"/>
          <w:szCs w:val="32"/>
        </w:rPr>
        <w:t>），占比4.08</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p>
    <w:p>
      <w:pPr>
        <w:widowControl/>
        <w:spacing w:beforeLines="50" w:afterLines="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2022年部门预算总支出为43</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171.80万元，其中:基本支出120.70万元（事业运行26.76万元、事业单位离退休93.94万元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r>
        <w:rPr>
          <w:rFonts w:ascii="仿宋_GB2312" w:hAnsi="宋体" w:eastAsia="仿宋_GB2312" w:cs="宋体"/>
          <w:kern w:val="0"/>
          <w:sz w:val="32"/>
          <w:szCs w:val="32"/>
        </w:rPr>
        <w:t>占比0.</w:t>
      </w:r>
      <w:r>
        <w:rPr>
          <w:rFonts w:hint="eastAsia" w:ascii="仿宋_GB2312" w:hAnsi="宋体" w:eastAsia="仿宋_GB2312" w:cs="宋体"/>
          <w:kern w:val="0"/>
          <w:sz w:val="32"/>
          <w:szCs w:val="32"/>
        </w:rPr>
        <w:t>28</w:t>
      </w:r>
      <w:r>
        <w:rPr>
          <w:rFonts w:ascii="仿宋_GB2312" w:hAnsi="宋体" w:eastAsia="仿宋_GB2312" w:cs="宋体"/>
          <w:kern w:val="0"/>
          <w:sz w:val="32"/>
          <w:szCs w:val="32"/>
        </w:rPr>
        <w:t>%；</w:t>
      </w:r>
      <w:r>
        <w:rPr>
          <w:rFonts w:hint="eastAsia" w:ascii="仿宋_GB2312" w:hAnsi="宋体" w:eastAsia="仿宋_GB2312" w:cs="宋体"/>
          <w:kern w:val="0"/>
          <w:sz w:val="32"/>
          <w:szCs w:val="32"/>
        </w:rPr>
        <w:t>项目支出30</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736.10万元（市场秩序执法21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677.10万元、质量</w:t>
      </w:r>
      <w:r>
        <w:rPr>
          <w:rFonts w:ascii="仿宋_GB2312" w:hAnsi="宋体" w:eastAsia="仿宋_GB2312" w:cs="宋体"/>
          <w:kern w:val="0"/>
          <w:sz w:val="32"/>
          <w:szCs w:val="32"/>
        </w:rPr>
        <w:t>安全监管</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205.00万元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事业运行261.00万元、其他市场监督管理事务7</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155.08万元、机关事业单位基本养老保险缴费支出165.80万元、机关事业单位职业年金缴费支出84..00万元、事业单位医疗83.20万元、住房公积金104.92万元）</w:t>
      </w:r>
      <w:r>
        <w:rPr>
          <w:rFonts w:ascii="仿宋_GB2312" w:hAnsi="宋体" w:eastAsia="仿宋_GB2312" w:cs="宋体"/>
          <w:kern w:val="0"/>
          <w:sz w:val="32"/>
          <w:szCs w:val="32"/>
        </w:rPr>
        <w:t>占比</w:t>
      </w:r>
      <w:r>
        <w:rPr>
          <w:rFonts w:hint="eastAsia" w:ascii="仿宋_GB2312" w:hAnsi="宋体" w:eastAsia="仿宋_GB2312" w:cs="宋体"/>
          <w:kern w:val="0"/>
          <w:sz w:val="32"/>
          <w:szCs w:val="32"/>
        </w:rPr>
        <w:t>71.19</w:t>
      </w:r>
      <w:r>
        <w:rPr>
          <w:rFonts w:ascii="仿宋_GB2312" w:hAnsi="宋体" w:eastAsia="仿宋_GB2312" w:cs="宋体"/>
          <w:kern w:val="0"/>
          <w:sz w:val="32"/>
          <w:szCs w:val="32"/>
        </w:rPr>
        <w:t>%；</w:t>
      </w:r>
      <w:r>
        <w:rPr>
          <w:rFonts w:hint="eastAsia" w:ascii="仿宋_GB2312" w:hAnsi="宋体" w:eastAsia="仿宋_GB2312" w:cs="宋体"/>
          <w:kern w:val="0"/>
          <w:sz w:val="32"/>
          <w:szCs w:val="32"/>
        </w:rPr>
        <w:t>事业单位经营支出12</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315.00万元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占比28.53</w:t>
      </w:r>
      <w:r>
        <w:rPr>
          <w:rFonts w:ascii="仿宋_GB2312" w:hAnsi="宋体" w:eastAsia="仿宋_GB2312" w:cs="宋体"/>
          <w:kern w:val="0"/>
          <w:sz w:val="32"/>
          <w:szCs w:val="32"/>
        </w:rPr>
        <w:t>%。</w:t>
      </w:r>
    </w:p>
    <w:p>
      <w:pPr>
        <w:widowControl/>
        <w:spacing w:line="360" w:lineRule="auto"/>
        <w:ind w:firstLine="640" w:firstLineChars="200"/>
        <w:jc w:val="left"/>
        <w:rPr>
          <w:rFonts w:ascii="黑体" w:hAnsi="黑体" w:eastAsia="黑体" w:cs="黑体"/>
          <w:bCs/>
          <w:sz w:val="32"/>
          <w:szCs w:val="32"/>
        </w:rPr>
      </w:pPr>
      <w:r>
        <w:rPr>
          <w:rFonts w:hint="eastAsia" w:ascii="黑体" w:hAnsi="黑体" w:eastAsia="黑体" w:cs="黑体"/>
          <w:bCs/>
          <w:sz w:val="32"/>
          <w:szCs w:val="32"/>
        </w:rPr>
        <w:t>二、2022年一般公共预算拨款收支情况说明</w:t>
      </w:r>
    </w:p>
    <w:p>
      <w:pPr>
        <w:widowControl/>
        <w:spacing w:beforeLines="50" w:afterLines="50" w:line="360" w:lineRule="auto"/>
        <w:ind w:firstLine="643" w:firstLineChars="200"/>
        <w:jc w:val="left"/>
        <w:rPr>
          <w:rFonts w:ascii="仿宋_GB2312" w:hAnsi="宋体" w:eastAsia="仿宋_GB2312" w:cs="Times New Roman"/>
          <w:bCs/>
          <w:sz w:val="32"/>
          <w:szCs w:val="32"/>
        </w:rPr>
      </w:pPr>
      <w:r>
        <w:rPr>
          <w:rFonts w:hint="eastAsia" w:ascii="楷体_GB2312" w:hAnsi="宋体" w:eastAsia="楷体_GB2312" w:cs="宋体"/>
          <w:b/>
          <w:kern w:val="0"/>
          <w:sz w:val="32"/>
          <w:szCs w:val="32"/>
          <w:lang w:eastAsia="zh-CN"/>
        </w:rPr>
        <w:t>（一）</w:t>
      </w:r>
      <w:r>
        <w:rPr>
          <w:rFonts w:hint="eastAsia" w:ascii="楷体_GB2312" w:hAnsi="宋体" w:eastAsia="楷体_GB2312" w:cs="宋体"/>
          <w:b/>
          <w:kern w:val="0"/>
          <w:sz w:val="32"/>
          <w:szCs w:val="32"/>
        </w:rPr>
        <w:t>财政拨款规模情况</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内蒙古自治区特种设备检验研究院2022年财政拨款收支总预算为30851.80万元，其中：本年一般公共预算拨款收入数为29090.70万元，上年</w:t>
      </w:r>
      <w:r>
        <w:rPr>
          <w:rFonts w:ascii="仿宋_GB2312" w:hAnsi="宋体" w:eastAsia="仿宋_GB2312" w:cs="Times New Roman"/>
          <w:bCs/>
          <w:sz w:val="32"/>
          <w:szCs w:val="32"/>
        </w:rPr>
        <w:t>结转结余</w:t>
      </w:r>
      <w:r>
        <w:rPr>
          <w:rFonts w:hint="eastAsia" w:ascii="仿宋_GB2312" w:hAnsi="宋体" w:eastAsia="仿宋_GB2312" w:cs="Times New Roman"/>
          <w:bCs/>
          <w:sz w:val="32"/>
          <w:szCs w:val="32"/>
        </w:rPr>
        <w:t>1761.10万元</w:t>
      </w:r>
      <w:r>
        <w:rPr>
          <w:rFonts w:ascii="仿宋_GB2312" w:hAnsi="宋体" w:eastAsia="仿宋_GB2312" w:cs="Times New Roman"/>
          <w:bCs/>
          <w:sz w:val="32"/>
          <w:szCs w:val="32"/>
        </w:rPr>
        <w:t>。</w:t>
      </w:r>
    </w:p>
    <w:p>
      <w:pPr>
        <w:widowControl/>
        <w:spacing w:beforeLines="50" w:afterLines="50" w:line="360" w:lineRule="auto"/>
        <w:ind w:firstLine="643" w:firstLineChars="200"/>
        <w:jc w:val="left"/>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eastAsia="zh-CN"/>
        </w:rPr>
        <w:t>（二）财政拨款预算结构情况</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2022年部门预算中，财政拨款支出数为30851.80万元，用于以下方面：一般公共服务（类）支出30319.94万元，占支出的98.28%；社会保障和就业（类）支出343.74万元，占支出的1.11%；卫生健康支出83.20万元，占支出的0.27%；住房保障支出104.92万元，占支出的0.34%。</w:t>
      </w:r>
    </w:p>
    <w:p>
      <w:pPr>
        <w:widowControl/>
        <w:spacing w:beforeLines="50" w:afterLines="50" w:line="360" w:lineRule="auto"/>
        <w:ind w:firstLine="643" w:firstLineChars="200"/>
        <w:jc w:val="left"/>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eastAsia="zh-CN"/>
        </w:rPr>
        <w:t>（三）一般公共预算拨款收入具体使用安排情况</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2022年财政拨款预算数为30</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851.80万元，比2021年财政拨款预算数减少4</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375.70万元，具体情况如下：</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1.一般公共服务类2022年财政拨款预算数为30</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319.94万元，比上年减少2</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 xml:space="preserve">663.55万元。其中： </w:t>
      </w:r>
    </w:p>
    <w:p>
      <w:pPr>
        <w:widowControl/>
        <w:spacing w:beforeLines="50" w:afterLines="50" w:line="360" w:lineRule="auto"/>
        <w:ind w:firstLine="640" w:firstLineChars="200"/>
        <w:jc w:val="left"/>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rPr>
        <w:t>(1)一般公共服务（类）市场监督管理事务（款）市场秩序执法(项)：2022年财政拨款预算数为21</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677.10万元。主要用于锅炉压力容器与特种设备安全监管项目检验检测支出</w:t>
      </w:r>
      <w:r>
        <w:rPr>
          <w:rFonts w:hint="eastAsia" w:ascii="仿宋_GB2312" w:hAnsi="宋体" w:eastAsia="仿宋_GB2312" w:cs="Times New Roman"/>
          <w:bCs/>
          <w:sz w:val="32"/>
          <w:szCs w:val="32"/>
          <w:lang w:eastAsia="zh-CN"/>
        </w:rPr>
        <w:t>。</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(2)一般公共服务（类）市场监督管理事务（款）质量安全监管（项）：2022年财政拨款预算数为1</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200</w:t>
      </w:r>
      <w:r>
        <w:rPr>
          <w:rFonts w:hint="eastAsia" w:ascii="仿宋_GB2312" w:hAnsi="宋体" w:eastAsia="仿宋_GB2312" w:cs="Times New Roman"/>
          <w:bCs/>
          <w:sz w:val="32"/>
          <w:szCs w:val="32"/>
          <w:lang w:val="en-US" w:eastAsia="zh-CN"/>
        </w:rPr>
        <w:t>.00</w:t>
      </w:r>
      <w:r>
        <w:rPr>
          <w:rFonts w:hint="eastAsia" w:ascii="仿宋_GB2312" w:hAnsi="宋体" w:eastAsia="仿宋_GB2312" w:cs="Times New Roman"/>
          <w:bCs/>
          <w:sz w:val="32"/>
          <w:szCs w:val="32"/>
        </w:rPr>
        <w:t>万元。主要用于锅炉压力容器与特种设备安全监管项目检验检测支出。</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(3)一般公共服务（类）市场监督管理事务（款）事业运行（项）：2022年财政拨款预算数为287.76万元。主要用于：事业运行经费支出，保障机构正常运行、开展日常工作。</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 xml:space="preserve"> (</w:t>
      </w:r>
      <w:r>
        <w:rPr>
          <w:rFonts w:hint="eastAsia" w:ascii="仿宋_GB2312" w:hAnsi="宋体" w:eastAsia="仿宋_GB2312" w:cs="Times New Roman"/>
          <w:bCs/>
          <w:sz w:val="32"/>
          <w:szCs w:val="32"/>
          <w:lang w:val="en-US" w:eastAsia="zh-CN"/>
        </w:rPr>
        <w:t>4</w:t>
      </w:r>
      <w:r>
        <w:rPr>
          <w:rFonts w:hint="eastAsia" w:ascii="仿宋_GB2312" w:hAnsi="宋体" w:eastAsia="仿宋_GB2312" w:cs="Times New Roman"/>
          <w:bCs/>
          <w:sz w:val="32"/>
          <w:szCs w:val="32"/>
        </w:rPr>
        <w:t>)一般公共服务（类）市场监督管理事务（款）其他市场监督管理事务（项）：2022年财政拨款预算数为7</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155.08万元。主要用于：主要用于在编人员基本工资、津贴补贴等人员经费以及事业运行经费基本支出，保障机构正常运行、开展日常工作。</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2.社会保障和就业支出科学技术支出类2022年财政拨款预算数为343.74万元，比上年减少850.46万元，其中：</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(1)社会保障和就业支出（类）行政事业单位养老支出（款）：2022年财政拨款预算数为343.74万元，事业单位离退休（项）93.94万元，主要用于：归口管理的事业单位开支的离退休经费。</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（2)社会保障和就业支出（类）行政事业单位养老支出（款）机关事业单位基本养老保险缴费支出（项）：165.80万元，主要用于：归口管理的事业单位开支的在编人员养老保险缴纳。</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（3）机关事业单位职业年金缴费支出（项）：84.00万元，主要用于：归口管理的事业单位开支的在编人员职业年金缴纳。</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3.卫生健康支出（类）2022年财政拨款预算数为83.20万元，比上年减少354.67万元，其中：</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（1）卫生健康支出（类）行政事业单位医疗（款）：83.20万元，事业单位医疗（项）：83.20万元，主要用于：归口管理的事业单位开支的在编人员医疗保险缴纳。</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4.住房保障支出（类）2022年财政拨款预算数为104.92万元，比上年减少507.02万元，其中：</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（1）住房保障支出（类）住房改革支出（款）：104.92万元，住房公积金（项）：104.92万元，主要用于：归口管理的事业单位开支的在编人员住房公积金缴纳。</w:t>
      </w:r>
    </w:p>
    <w:p>
      <w:pPr>
        <w:widowControl/>
        <w:spacing w:beforeLines="50" w:afterLines="50" w:line="360" w:lineRule="auto"/>
        <w:ind w:firstLine="640" w:firstLineChars="200"/>
        <w:jc w:val="left"/>
        <w:rPr>
          <w:rFonts w:ascii="黑体" w:hAnsi="黑体" w:eastAsia="黑体" w:cs="黑体"/>
          <w:bCs/>
          <w:sz w:val="32"/>
          <w:szCs w:val="32"/>
        </w:rPr>
      </w:pPr>
      <w:r>
        <w:rPr>
          <w:rFonts w:hint="eastAsia" w:ascii="黑体" w:hAnsi="黑体" w:eastAsia="黑体" w:cs="黑体"/>
          <w:bCs/>
          <w:sz w:val="32"/>
          <w:szCs w:val="32"/>
        </w:rPr>
        <w:t>三、政府性基金预算拨款支出预算的情况说明</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我单位2022年无政府性基金预算拨款支出。</w:t>
      </w:r>
    </w:p>
    <w:p>
      <w:pPr>
        <w:widowControl/>
        <w:spacing w:beforeLines="50" w:afterLines="50" w:line="360" w:lineRule="auto"/>
        <w:ind w:firstLine="640" w:firstLineChars="200"/>
        <w:jc w:val="left"/>
        <w:rPr>
          <w:rFonts w:ascii="黑体" w:hAnsi="黑体" w:eastAsia="黑体" w:cs="黑体"/>
          <w:bCs/>
          <w:sz w:val="32"/>
          <w:szCs w:val="32"/>
        </w:rPr>
      </w:pPr>
      <w:r>
        <w:rPr>
          <w:rFonts w:hint="eastAsia" w:ascii="黑体" w:hAnsi="黑体" w:eastAsia="黑体" w:cs="黑体"/>
          <w:bCs/>
          <w:sz w:val="32"/>
          <w:szCs w:val="32"/>
        </w:rPr>
        <w:t>四、国有资本经营预算拨款支出预算的情况说明</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我单位2022年无国有资本经营预算拨款支出。</w:t>
      </w:r>
    </w:p>
    <w:p>
      <w:pPr>
        <w:widowControl/>
        <w:spacing w:beforeLines="50" w:afterLines="50" w:line="360" w:lineRule="auto"/>
        <w:ind w:firstLine="640" w:firstLineChars="200"/>
        <w:jc w:val="left"/>
        <w:rPr>
          <w:rFonts w:ascii="黑体" w:hAnsi="黑体" w:eastAsia="黑体" w:cs="黑体"/>
          <w:bCs/>
          <w:sz w:val="32"/>
          <w:szCs w:val="32"/>
        </w:rPr>
      </w:pPr>
      <w:r>
        <w:rPr>
          <w:rFonts w:hint="eastAsia" w:ascii="黑体" w:hAnsi="黑体" w:eastAsia="黑体" w:cs="黑体"/>
          <w:bCs/>
          <w:sz w:val="32"/>
          <w:szCs w:val="32"/>
        </w:rPr>
        <w:t>五、“三公经费”财政拨款支出预算的情况说明</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rPr>
        <w:t>2022年度“三公经费”财政拨款支出预算数为644.16万元，比上年减少123.90万元，占总支出的1.49%。其中：</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lang w:eastAsia="zh-CN"/>
        </w:rPr>
        <w:t>（一）</w:t>
      </w:r>
      <w:r>
        <w:rPr>
          <w:rFonts w:hint="eastAsia" w:ascii="仿宋_GB2312" w:hAnsi="宋体" w:eastAsia="仿宋_GB2312" w:cs="Times New Roman"/>
          <w:bCs/>
          <w:sz w:val="32"/>
          <w:szCs w:val="32"/>
        </w:rPr>
        <w:t>因公出国（境）费预算为0万元；</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lang w:eastAsia="zh-CN"/>
        </w:rPr>
        <w:t>（二）</w:t>
      </w:r>
      <w:r>
        <w:rPr>
          <w:rFonts w:hint="eastAsia" w:ascii="仿宋_GB2312" w:hAnsi="宋体" w:eastAsia="仿宋_GB2312" w:cs="Times New Roman"/>
          <w:bCs/>
          <w:sz w:val="32"/>
          <w:szCs w:val="32"/>
        </w:rPr>
        <w:t>公务接待费19.56万元；</w:t>
      </w:r>
    </w:p>
    <w:p>
      <w:pPr>
        <w:widowControl/>
        <w:spacing w:beforeLines="50" w:afterLines="50" w:line="360" w:lineRule="auto"/>
        <w:ind w:firstLine="640" w:firstLineChars="200"/>
        <w:jc w:val="left"/>
        <w:rPr>
          <w:rFonts w:ascii="仿宋_GB2312" w:hAnsi="宋体" w:eastAsia="仿宋_GB2312" w:cs="Times New Roman"/>
          <w:bCs/>
          <w:sz w:val="32"/>
          <w:szCs w:val="32"/>
        </w:rPr>
      </w:pPr>
      <w:r>
        <w:rPr>
          <w:rFonts w:hint="eastAsia" w:ascii="仿宋_GB2312" w:hAnsi="宋体" w:eastAsia="仿宋_GB2312" w:cs="Times New Roman"/>
          <w:bCs/>
          <w:sz w:val="32"/>
          <w:szCs w:val="32"/>
          <w:lang w:eastAsia="zh-CN"/>
        </w:rPr>
        <w:t>（三）</w:t>
      </w:r>
      <w:r>
        <w:rPr>
          <w:rFonts w:hint="eastAsia" w:ascii="仿宋_GB2312" w:hAnsi="宋体" w:eastAsia="仿宋_GB2312" w:cs="Times New Roman"/>
          <w:bCs/>
          <w:sz w:val="32"/>
          <w:szCs w:val="32"/>
        </w:rPr>
        <w:t>公务用车购置及运行费预算624.60万元，其中：公务用车购置费58.00万元、公务用车运行维护费预算566.60万元。</w:t>
      </w: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0" w:firstLineChars="1200"/>
        <w:rPr>
          <w:rFonts w:ascii="微软雅黑" w:hAnsi="微软雅黑" w:eastAsia="微软雅黑"/>
          <w:sz w:val="28"/>
          <w:szCs w:val="28"/>
        </w:rPr>
      </w:pPr>
    </w:p>
    <w:p>
      <w:pPr>
        <w:ind w:firstLine="3362" w:firstLineChars="1200"/>
        <w:rPr>
          <w:rFonts w:ascii="微软雅黑" w:hAnsi="微软雅黑" w:eastAsia="微软雅黑"/>
          <w:b/>
          <w:sz w:val="28"/>
          <w:szCs w:val="28"/>
        </w:rPr>
      </w:pPr>
    </w:p>
    <w:p>
      <w:pPr>
        <w:ind w:firstLine="3362" w:firstLineChars="1200"/>
        <w:rPr>
          <w:rFonts w:ascii="微软雅黑" w:hAnsi="微软雅黑" w:eastAsia="微软雅黑"/>
          <w:b/>
          <w:sz w:val="28"/>
          <w:szCs w:val="28"/>
        </w:rPr>
      </w:pPr>
    </w:p>
    <w:p>
      <w:pPr>
        <w:ind w:firstLine="3362" w:firstLineChars="1200"/>
        <w:rPr>
          <w:rFonts w:ascii="微软雅黑" w:hAnsi="微软雅黑" w:eastAsia="微软雅黑"/>
          <w:b/>
          <w:sz w:val="28"/>
          <w:szCs w:val="28"/>
        </w:rPr>
      </w:pPr>
    </w:p>
    <w:p>
      <w:pPr>
        <w:ind w:firstLine="3362" w:firstLineChars="1200"/>
        <w:rPr>
          <w:rFonts w:ascii="微软雅黑" w:hAnsi="微软雅黑" w:eastAsia="微软雅黑"/>
          <w:b/>
          <w:sz w:val="28"/>
          <w:szCs w:val="28"/>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第三部分</w:t>
      </w: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其他公开事项说明</w:t>
      </w: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rPr>
          <w:rFonts w:ascii="微软雅黑" w:hAnsi="微软雅黑" w:eastAsia="微软雅黑"/>
          <w:b/>
          <w:sz w:val="28"/>
          <w:szCs w:val="28"/>
        </w:rPr>
      </w:pPr>
    </w:p>
    <w:p>
      <w:pPr>
        <w:spacing w:beforeLines="50" w:afterLines="50"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一、事业运行经费安排情况说明</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2022年我院运行经费财政拨款预算为22</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877.10万元，其中:办公费604.50万元、印刷费90.85万元、咨询费2.00万元、手续费3.00万元、水费48.08万元、电费167.39万元、邮电费77.67万元、取暖费416.99万元、物业管理费320.40万元、差旅费1</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519.02万元、维修（护）费452.00万元、租赁费5.00万元、会议费4.00万元、培训费265.00万元、公务接待费17.03万元、专用材料费467.00</w:t>
      </w:r>
    </w:p>
    <w:p>
      <w:pPr>
        <w:rPr>
          <w:rFonts w:ascii="仿宋_GB2312" w:hAnsi="宋体" w:eastAsia="仿宋_GB2312" w:cs="Times New Roman"/>
          <w:bCs/>
          <w:sz w:val="32"/>
          <w:szCs w:val="32"/>
        </w:rPr>
      </w:pPr>
      <w:r>
        <w:rPr>
          <w:rFonts w:hint="eastAsia" w:ascii="仿宋_GB2312" w:hAnsi="宋体" w:eastAsia="仿宋_GB2312" w:cs="Times New Roman"/>
          <w:bCs/>
          <w:sz w:val="32"/>
          <w:szCs w:val="32"/>
        </w:rPr>
        <w:t>万元、劳务费1</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356.90万元、委托业务费518.00万元、工会经费285.46万元、福利费299.73万元、公务用车运行维护费556.25万元、其他交通费用165.20万元、其他商品和服务支出30.00万元、房屋建筑物购建200.00万元、办公设备购置342.00万元、专用设备购置1</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970.00万元、基础设施建设600.00万元、信息网络及软件购置更新66.00万元、公务用车购置40.00万元。</w:t>
      </w:r>
    </w:p>
    <w:p>
      <w:pPr>
        <w:spacing w:beforeLines="50" w:afterLines="50"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二、“政府采购计划”预算情况说明</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2022年共编制政府采购预算6</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696.30万元 。其中货物类政府采购预算为3</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233.22万元；服务类政府采购预算为2</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585.29万元；工程类政府采购预算为877.79万元。涵盖“计算机设备及软件”、“办公设备”、“电气设备”、“家具用具”、“纸制品及印刷品”、“办公消耗用品及类似物品”、“车辆维修和保养服务”、“物业管理服务”、 “运行维护服务”“建筑工程”等采购大类。</w:t>
      </w:r>
    </w:p>
    <w:p>
      <w:pPr>
        <w:spacing w:beforeLines="50" w:afterLines="50"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三、国有资产占有使用和增量情况说明</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截至2021年末，内蒙古自治区特种设备检验研究院固定资产为125</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992.71万元，2022年内蒙古自治区特种设备检验研究院国有资产配置计划资金为3</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484.40万元。</w:t>
      </w:r>
    </w:p>
    <w:p>
      <w:pPr>
        <w:spacing w:beforeLines="50" w:afterLines="50"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部门组织征收收入计划</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2022年内蒙古自治区特种设备检验研究院组织征收收入计划35</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671.00万元，全部纳入预算管理。</w:t>
      </w:r>
    </w:p>
    <w:p>
      <w:pPr>
        <w:spacing w:beforeLines="50" w:afterLines="50"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、2022年对下转移支付情况</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2022年我院没有对下转移支付。</w:t>
      </w:r>
    </w:p>
    <w:p>
      <w:pPr>
        <w:spacing w:beforeLines="50" w:afterLines="50"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、绩效目标设置情况说明</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根据部门预算编制要求，对重点项目预算的绩效目标进行设置。2022年，我院对共计6个预算项目设置绩效目标，从预算执行、产出、效益、满意度等多方面对预算项目进行综合绩效管理。设计项目绩效指标</w:t>
      </w:r>
      <w:r>
        <w:rPr>
          <w:rFonts w:ascii="仿宋_GB2312" w:hAnsi="宋体" w:eastAsia="仿宋_GB2312" w:cs="Times New Roman"/>
          <w:bCs/>
          <w:sz w:val="32"/>
          <w:szCs w:val="32"/>
        </w:rPr>
        <w:t>112</w:t>
      </w:r>
      <w:r>
        <w:rPr>
          <w:rFonts w:hint="eastAsia" w:ascii="仿宋_GB2312" w:hAnsi="宋体" w:eastAsia="仿宋_GB2312" w:cs="Times New Roman"/>
          <w:bCs/>
          <w:sz w:val="32"/>
          <w:szCs w:val="32"/>
        </w:rPr>
        <w:t>项，一级指标中：产出指标</w:t>
      </w:r>
      <w:r>
        <w:rPr>
          <w:rFonts w:ascii="仿宋_GB2312" w:hAnsi="宋体" w:eastAsia="仿宋_GB2312" w:cs="Times New Roman"/>
          <w:bCs/>
          <w:sz w:val="32"/>
          <w:szCs w:val="32"/>
        </w:rPr>
        <w:t>55</w:t>
      </w:r>
      <w:r>
        <w:rPr>
          <w:rFonts w:hint="eastAsia" w:ascii="仿宋_GB2312" w:hAnsi="宋体" w:eastAsia="仿宋_GB2312" w:cs="Times New Roman"/>
          <w:bCs/>
          <w:sz w:val="32"/>
          <w:szCs w:val="32"/>
        </w:rPr>
        <w:t>项，效益指标</w:t>
      </w:r>
      <w:r>
        <w:rPr>
          <w:rFonts w:ascii="仿宋_GB2312" w:hAnsi="宋体" w:eastAsia="仿宋_GB2312" w:cs="Times New Roman"/>
          <w:bCs/>
          <w:sz w:val="32"/>
          <w:szCs w:val="32"/>
        </w:rPr>
        <w:t>45</w:t>
      </w:r>
      <w:r>
        <w:rPr>
          <w:rFonts w:hint="eastAsia" w:ascii="仿宋_GB2312" w:hAnsi="宋体" w:eastAsia="仿宋_GB2312" w:cs="Times New Roman"/>
          <w:bCs/>
          <w:sz w:val="32"/>
          <w:szCs w:val="32"/>
        </w:rPr>
        <w:t>项，满意度指标</w:t>
      </w:r>
      <w:r>
        <w:rPr>
          <w:rFonts w:ascii="仿宋_GB2312" w:hAnsi="宋体" w:eastAsia="仿宋_GB2312" w:cs="Times New Roman"/>
          <w:bCs/>
          <w:sz w:val="32"/>
          <w:szCs w:val="32"/>
        </w:rPr>
        <w:t>12</w:t>
      </w:r>
      <w:r>
        <w:rPr>
          <w:rFonts w:hint="eastAsia" w:ascii="仿宋_GB2312" w:hAnsi="宋体" w:eastAsia="仿宋_GB2312" w:cs="Times New Roman"/>
          <w:bCs/>
          <w:sz w:val="32"/>
          <w:szCs w:val="32"/>
        </w:rPr>
        <w:t>项。</w:t>
      </w:r>
      <w:r>
        <w:rPr>
          <w:rFonts w:ascii="仿宋_GB2312" w:hAnsi="宋体" w:eastAsia="仿宋_GB2312" w:cs="Times New Roman"/>
          <w:bCs/>
          <w:sz w:val="32"/>
          <w:szCs w:val="32"/>
        </w:rPr>
        <w:t>二级指标中</w:t>
      </w:r>
      <w:r>
        <w:rPr>
          <w:rFonts w:hint="eastAsia" w:ascii="仿宋_GB2312" w:hAnsi="宋体" w:eastAsia="仿宋_GB2312" w:cs="Times New Roman"/>
          <w:bCs/>
          <w:sz w:val="32"/>
          <w:szCs w:val="32"/>
        </w:rPr>
        <w:t>：数量指标</w:t>
      </w:r>
      <w:r>
        <w:rPr>
          <w:rFonts w:ascii="仿宋_GB2312" w:hAnsi="宋体" w:eastAsia="仿宋_GB2312" w:cs="Times New Roman"/>
          <w:bCs/>
          <w:sz w:val="32"/>
          <w:szCs w:val="32"/>
        </w:rPr>
        <w:t>14</w:t>
      </w:r>
      <w:r>
        <w:rPr>
          <w:rFonts w:hint="eastAsia" w:ascii="仿宋_GB2312" w:hAnsi="宋体" w:eastAsia="仿宋_GB2312" w:cs="Times New Roman"/>
          <w:bCs/>
          <w:sz w:val="32"/>
          <w:szCs w:val="32"/>
        </w:rPr>
        <w:t>项，包括:检验数量、安全监管人员培训数量、新购资产数量、完成检查报告数量、检查频次、开设培训班期数、参与培训学员人数、补贴资金发放次数、在职职工基本工资发放人数、补贴资金发放形式种类、社会保险补助人数、津贴补贴人数、科目调整次数、足额保障率。质量指标</w:t>
      </w:r>
      <w:r>
        <w:rPr>
          <w:rFonts w:ascii="仿宋_GB2312" w:hAnsi="宋体" w:eastAsia="仿宋_GB2312" w:cs="Times New Roman"/>
          <w:bCs/>
          <w:sz w:val="32"/>
          <w:szCs w:val="32"/>
        </w:rPr>
        <w:t>22</w:t>
      </w:r>
      <w:r>
        <w:rPr>
          <w:rFonts w:hint="eastAsia" w:ascii="仿宋_GB2312" w:hAnsi="宋体" w:eastAsia="仿宋_GB2312" w:cs="Times New Roman"/>
          <w:bCs/>
          <w:sz w:val="32"/>
          <w:szCs w:val="32"/>
        </w:rPr>
        <w:t>项，包括：检验合格率、特种设备法定检验完成率、问题整改落实率、安全监管人员培训合格率、资产配置验收合格率、顾客满意率、抽检覆盖率、培训合格率、经营性服务项目报告合格率、专业培训人员合格率、检验报告失误率、培训班次完成率、培训考核通过率、培训班学员签到率、法规标准规范执行率、在职职工工资足额发放率、补贴资金发放形式便捷率、补贴资金发放次数保障率、补贴补助对象审核率、补助人员覆盖率、社会保险补助足额缴纳率、补助对象审核率。时效指标</w:t>
      </w:r>
      <w:r>
        <w:rPr>
          <w:rFonts w:ascii="仿宋_GB2312" w:hAnsi="宋体" w:eastAsia="仿宋_GB2312" w:cs="Times New Roman"/>
          <w:bCs/>
          <w:sz w:val="32"/>
          <w:szCs w:val="32"/>
        </w:rPr>
        <w:t>13</w:t>
      </w:r>
      <w:r>
        <w:rPr>
          <w:rFonts w:hint="eastAsia" w:ascii="仿宋_GB2312" w:hAnsi="宋体" w:eastAsia="仿宋_GB2312" w:cs="Times New Roman"/>
          <w:bCs/>
          <w:sz w:val="32"/>
          <w:szCs w:val="32"/>
        </w:rPr>
        <w:t>项，包括：报告出具时间、法定检测项目总体完成时间、年度检查任务按时完成率、检验检测合同履行率及检验计划完成率、委托检验及时率、培训计划按期完成率、服务对象规定时限内出具报告、各项补贴发放及时率、核实人员变化情况及时率、补助资金支出及时率、工资发放及时率、社保等资金缴纳及时率、发放及时率。成本指标</w:t>
      </w:r>
      <w:r>
        <w:rPr>
          <w:rFonts w:ascii="仿宋_GB2312" w:hAnsi="宋体" w:eastAsia="仿宋_GB2312" w:cs="Times New Roman"/>
          <w:bCs/>
          <w:sz w:val="32"/>
          <w:szCs w:val="32"/>
        </w:rPr>
        <w:t>6</w:t>
      </w:r>
      <w:r>
        <w:rPr>
          <w:rFonts w:hint="eastAsia" w:ascii="仿宋_GB2312" w:hAnsi="宋体" w:eastAsia="仿宋_GB2312" w:cs="Times New Roman"/>
          <w:bCs/>
          <w:sz w:val="32"/>
          <w:szCs w:val="32"/>
        </w:rPr>
        <w:t>项，包括：检测成本、监管人员培训成本、委托检验成本、经营性服务项目成本、补贴发放标准、人员工资发放标准。经济效益指标</w:t>
      </w:r>
      <w:r>
        <w:rPr>
          <w:rFonts w:ascii="仿宋_GB2312" w:hAnsi="宋体" w:eastAsia="仿宋_GB2312" w:cs="Times New Roman"/>
          <w:bCs/>
          <w:sz w:val="32"/>
          <w:szCs w:val="32"/>
        </w:rPr>
        <w:t>15</w:t>
      </w:r>
      <w:r>
        <w:rPr>
          <w:rFonts w:hint="eastAsia" w:ascii="仿宋_GB2312" w:hAnsi="宋体" w:eastAsia="仿宋_GB2312" w:cs="Times New Roman"/>
          <w:bCs/>
          <w:sz w:val="32"/>
          <w:szCs w:val="32"/>
        </w:rPr>
        <w:t>项，包括：提高特种设备制造使用企业的经济效益、辖区内锅炉压力容器与特种设备安全使用能力、效益增长率、单位成本降低率、提高缺陷检测率、促使特种设备使用企业安全运转提高经济效益、检验效率、特种设备检验检测经济效益、检验检测报告出具及时率、有效防止和减少被检测单位安全事故发生、特种设备检验检测经济效益、检验检测合同履行率及检验计划完成率、在职职工薪酬待遇、提高社会经济效益、结余率。社会效益指标1</w:t>
      </w:r>
      <w:r>
        <w:rPr>
          <w:rFonts w:ascii="仿宋_GB2312" w:hAnsi="宋体" w:eastAsia="仿宋_GB2312" w:cs="Times New Roman"/>
          <w:bCs/>
          <w:sz w:val="32"/>
          <w:szCs w:val="32"/>
        </w:rPr>
        <w:t>4</w:t>
      </w:r>
      <w:r>
        <w:rPr>
          <w:rFonts w:hint="eastAsia" w:ascii="仿宋_GB2312" w:hAnsi="宋体" w:eastAsia="仿宋_GB2312" w:cs="Times New Roman"/>
          <w:bCs/>
          <w:sz w:val="32"/>
          <w:szCs w:val="32"/>
        </w:rPr>
        <w:t>项，包括：保障人民群众的生命财产安全、锅炉压力容器与特种设备安全使用意识、辖区内锅炉压力容器与特种设备重大安全监管责任事故发生数、检验失误率、为特种设备管理使用提供科学准确可靠的数据结论、检验检测报告出具错误率、有效保护企业安全稳定运转、有效减少企业安全事故发生率、保证特种设备安全运行、改善劳动者生产环境及为行政监管部门提供数据支撑、保证员工及时收到工资、保证财政资金及时发放、三公经费控制、运转保障率。生态效益指标</w:t>
      </w:r>
      <w:r>
        <w:rPr>
          <w:rFonts w:ascii="仿宋_GB2312" w:hAnsi="宋体" w:eastAsia="仿宋_GB2312" w:cs="Times New Roman"/>
          <w:bCs/>
          <w:sz w:val="32"/>
          <w:szCs w:val="32"/>
        </w:rPr>
        <w:t>3</w:t>
      </w:r>
      <w:r>
        <w:rPr>
          <w:rFonts w:hint="eastAsia" w:ascii="仿宋_GB2312" w:hAnsi="宋体" w:eastAsia="仿宋_GB2312" w:cs="Times New Roman"/>
          <w:bCs/>
          <w:sz w:val="32"/>
          <w:szCs w:val="32"/>
        </w:rPr>
        <w:t>项，包括</w:t>
      </w:r>
      <w:r>
        <w:rPr>
          <w:rFonts w:ascii="仿宋_GB2312" w:hAnsi="宋体" w:eastAsia="仿宋_GB2312" w:cs="Times New Roman"/>
          <w:bCs/>
          <w:sz w:val="32"/>
          <w:szCs w:val="32"/>
        </w:rPr>
        <w:t>：</w:t>
      </w:r>
      <w:r>
        <w:rPr>
          <w:rFonts w:hint="eastAsia" w:ascii="仿宋_GB2312" w:hAnsi="宋体" w:eastAsia="仿宋_GB2312" w:cs="Times New Roman"/>
          <w:bCs/>
          <w:sz w:val="32"/>
          <w:szCs w:val="32"/>
        </w:rPr>
        <w:t>为提高节能减排能力、污水排放率、环境污染及污染率。可持续影响指标</w:t>
      </w:r>
      <w:r>
        <w:rPr>
          <w:rFonts w:ascii="仿宋_GB2312" w:hAnsi="宋体" w:eastAsia="仿宋_GB2312" w:cs="Times New Roman"/>
          <w:bCs/>
          <w:sz w:val="32"/>
          <w:szCs w:val="32"/>
        </w:rPr>
        <w:t>13</w:t>
      </w:r>
      <w:r>
        <w:rPr>
          <w:rFonts w:hint="eastAsia" w:ascii="仿宋_GB2312" w:hAnsi="宋体" w:eastAsia="仿宋_GB2312" w:cs="Times New Roman"/>
          <w:bCs/>
          <w:sz w:val="32"/>
          <w:szCs w:val="32"/>
        </w:rPr>
        <w:t>项，包括：食品安全执法能力和监管能力、技术支撑能力和检验检测水平、问题整改落实率、对本行业未来持续发展的影响、通过特种设备检验为客户提检验可持续性供科学优质高效满意的服务、行业未来持续发展率、检验可持续性、创自治区特种设备检验检测先进行业、营造良好的营商环境、补贴、补助发放能够吸引后备人才，人才引进增长率、提升单位人才储备、提高考评员业务素质能力、财政资金保证各项各项业务有序开展</w:t>
      </w:r>
      <w:r>
        <w:rPr>
          <w:rFonts w:ascii="仿宋_GB2312" w:hAnsi="宋体" w:eastAsia="仿宋_GB2312" w:cs="Times New Roman"/>
          <w:bCs/>
          <w:sz w:val="32"/>
          <w:szCs w:val="32"/>
        </w:rPr>
        <w:t>。</w:t>
      </w:r>
      <w:r>
        <w:rPr>
          <w:rFonts w:hint="eastAsia" w:ascii="仿宋_GB2312" w:hAnsi="宋体" w:eastAsia="仿宋_GB2312" w:cs="Times New Roman"/>
          <w:bCs/>
          <w:sz w:val="32"/>
          <w:szCs w:val="32"/>
        </w:rPr>
        <w:t>服务对象满意度12项，</w:t>
      </w:r>
      <w:r>
        <w:rPr>
          <w:rFonts w:ascii="仿宋_GB2312" w:hAnsi="宋体" w:eastAsia="仿宋_GB2312" w:cs="Times New Roman"/>
          <w:bCs/>
          <w:sz w:val="32"/>
          <w:szCs w:val="32"/>
        </w:rPr>
        <w:t>包括：</w:t>
      </w:r>
      <w:r>
        <w:rPr>
          <w:rFonts w:hint="eastAsia" w:ascii="仿宋_GB2312" w:hAnsi="宋体" w:eastAsia="仿宋_GB2312" w:cs="Times New Roman"/>
          <w:bCs/>
          <w:sz w:val="32"/>
          <w:szCs w:val="32"/>
        </w:rPr>
        <w:t>检查人员被投诉次数、公众对服务的认可度、项目使用人对项目的满意程度、锅炉压力容器与特种设备安全保障对象满意度、安全监管人员对培训工作的满意度、提供良好的营商环境、客户满意度、特种设备检验投诉率指标、培训对象对培训工作的满意度、被服务企业满意度、公众对服务的认可度、在职员工满意度。</w:t>
      </w: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jc w:val="center"/>
        <w:rPr>
          <w:rFonts w:ascii="方正小标宋简体" w:hAnsi="宋体" w:eastAsia="方正小标宋简体" w:cs="Times New Roman"/>
          <w:b w:val="0"/>
          <w:bCs w:val="0"/>
          <w:sz w:val="36"/>
          <w:szCs w:val="36"/>
        </w:rPr>
      </w:pPr>
      <w:r>
        <w:rPr>
          <w:rFonts w:hint="eastAsia" w:ascii="方正小标宋简体" w:hAnsi="宋体" w:eastAsia="方正小标宋简体" w:cs="Times New Roman"/>
          <w:b w:val="0"/>
          <w:bCs w:val="0"/>
          <w:sz w:val="36"/>
          <w:szCs w:val="36"/>
        </w:rPr>
        <w:t>第四部分</w:t>
      </w:r>
      <w:r>
        <w:rPr>
          <w:rFonts w:hint="eastAsia" w:ascii="方正小标宋简体" w:hAnsi="宋体" w:eastAsia="方正小标宋简体" w:cs="Times New Roman"/>
          <w:b w:val="0"/>
          <w:bCs w:val="0"/>
          <w:sz w:val="36"/>
          <w:szCs w:val="36"/>
          <w:lang w:val="en-US" w:eastAsia="zh-CN"/>
        </w:rPr>
        <w:t xml:space="preserve">  </w:t>
      </w:r>
      <w:r>
        <w:rPr>
          <w:rFonts w:hint="eastAsia" w:ascii="方正小标宋简体" w:hAnsi="宋体" w:eastAsia="方正小标宋简体" w:cs="Times New Roman"/>
          <w:b w:val="0"/>
          <w:bCs w:val="0"/>
          <w:sz w:val="36"/>
          <w:szCs w:val="36"/>
        </w:rPr>
        <w:t>名词解释</w:t>
      </w: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一、一般公共预算拨款收入：</w:t>
      </w:r>
      <w:r>
        <w:rPr>
          <w:rFonts w:hint="eastAsia" w:ascii="仿宋_GB2312" w:hAnsi="宋体" w:eastAsia="仿宋_GB2312" w:cs="Times New Roman"/>
          <w:sz w:val="32"/>
          <w:szCs w:val="32"/>
        </w:rPr>
        <w:t>指自治区财政当年拨付的资金。</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二、事业收入：</w:t>
      </w:r>
      <w:r>
        <w:rPr>
          <w:rFonts w:hint="eastAsia" w:ascii="仿宋_GB2312" w:hAnsi="宋体" w:eastAsia="仿宋_GB2312" w:cs="Times New Roman"/>
          <w:sz w:val="32"/>
          <w:szCs w:val="32"/>
        </w:rPr>
        <w:t>指事业单位开展专业业务活动及辅助活动所取得的收入。</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三、事业单位经营收入：</w:t>
      </w:r>
      <w:r>
        <w:rPr>
          <w:rFonts w:hint="eastAsia" w:ascii="仿宋_GB2312" w:hAnsi="宋体" w:eastAsia="仿宋_GB2312" w:cs="Times New Roman"/>
          <w:sz w:val="32"/>
          <w:szCs w:val="32"/>
        </w:rPr>
        <w:t>指事业单位在专业业务活动及其辅助活动之外开展非独立核算经营活动取得的收入。</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四、其他收入：</w:t>
      </w:r>
      <w:r>
        <w:rPr>
          <w:rFonts w:hint="eastAsia" w:ascii="仿宋_GB2312" w:hAnsi="宋体" w:eastAsia="仿宋_GB2312" w:cs="Times New Roman"/>
          <w:sz w:val="32"/>
          <w:szCs w:val="32"/>
        </w:rPr>
        <w:t>指除上述“财政拨款收入”、“事业收入”、“事业单位经营收入”等以外的收入。主要是按规定动用的售房收入、存款利息收入等。</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五、用事业基金弥补收支差额：</w:t>
      </w:r>
      <w:r>
        <w:rPr>
          <w:rFonts w:hint="eastAsia" w:ascii="仿宋_GB2312" w:hAnsi="宋体" w:eastAsia="仿宋_GB2312" w:cs="Times New Roman"/>
          <w:sz w:val="32"/>
          <w:szCs w:val="32"/>
        </w:rPr>
        <w:t>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六、上年结转：</w:t>
      </w:r>
      <w:r>
        <w:rPr>
          <w:rFonts w:hint="eastAsia" w:ascii="仿宋_GB2312" w:hAnsi="宋体" w:eastAsia="仿宋_GB2312" w:cs="Times New Roman"/>
          <w:sz w:val="32"/>
          <w:szCs w:val="32"/>
        </w:rPr>
        <w:t>指以前年度尚未完成、结转到本年仍按原规定用途继续使用的资金。</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七、一般公共服务（类）市场监督管理事务（款）：</w:t>
      </w:r>
      <w:r>
        <w:rPr>
          <w:rFonts w:hint="eastAsia" w:ascii="仿宋_GB2312" w:hAnsi="宋体" w:eastAsia="仿宋_GB2312" w:cs="Times New Roman"/>
          <w:sz w:val="32"/>
          <w:szCs w:val="32"/>
        </w:rPr>
        <w:t>指用于保障机构正常运行、开展市场监督管理活动的支出。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八、社会保障和就业（类）人力资源和社会保障管理事务（款）：</w:t>
      </w:r>
      <w:r>
        <w:rPr>
          <w:rFonts w:hint="eastAsia" w:ascii="仿宋_GB2312" w:hAnsi="宋体" w:eastAsia="仿宋_GB2312" w:cs="Times New Roman"/>
          <w:sz w:val="32"/>
          <w:szCs w:val="32"/>
        </w:rPr>
        <w:t>指用于人力资源引进人才补助方面的支出。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九、社会保障和就业支出（类）行政事业单位养老支出（款）：</w:t>
      </w:r>
      <w:r>
        <w:rPr>
          <w:rFonts w:hint="eastAsia" w:ascii="仿宋_GB2312" w:hAnsi="宋体" w:eastAsia="仿宋_GB2312" w:cs="Times New Roman"/>
          <w:sz w:val="32"/>
          <w:szCs w:val="32"/>
        </w:rPr>
        <w:t>指事业单位按照国家政策规定用于养老方面的支出。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十、住房保障支出（类）住房改革支出（款）：</w:t>
      </w:r>
      <w:r>
        <w:rPr>
          <w:rFonts w:hint="eastAsia" w:ascii="仿宋_GB2312" w:hAnsi="宋体" w:eastAsia="仿宋_GB2312" w:cs="Times New Roman"/>
          <w:sz w:val="32"/>
          <w:szCs w:val="32"/>
        </w:rPr>
        <w:t>指事业单位按照国家政策规定用于住房改革方面的支出。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十一、卫生健康支出（类）行政事业单位医疗（款）：</w:t>
      </w:r>
      <w:r>
        <w:rPr>
          <w:rFonts w:hint="eastAsia" w:ascii="仿宋_GB2312" w:hAnsi="宋体" w:eastAsia="仿宋_GB2312" w:cs="Times New Roman"/>
          <w:sz w:val="32"/>
          <w:szCs w:val="32"/>
        </w:rPr>
        <w:t>指事业单位按照国家政策规定用于医疗方面的支出。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十二、住房公积金：</w:t>
      </w:r>
      <w:r>
        <w:rPr>
          <w:rFonts w:hint="eastAsia" w:ascii="仿宋_GB2312" w:hAnsi="宋体" w:eastAsia="仿宋_GB2312" w:cs="Times New Roman"/>
          <w:sz w:val="32"/>
          <w:szCs w:val="32"/>
        </w:rPr>
        <w:t>指按照国家统一规定，按规定比例为职工缴纳的住房公积金。</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十三、结转下年：</w:t>
      </w:r>
      <w:r>
        <w:rPr>
          <w:rFonts w:hint="eastAsia" w:ascii="仿宋_GB2312" w:hAnsi="宋体" w:eastAsia="仿宋_GB2312" w:cs="Times New Roman"/>
          <w:sz w:val="32"/>
          <w:szCs w:val="32"/>
        </w:rPr>
        <w:t>指以前年度预算安排、因客观条件发生变化无法按原计划实施，需延迟到以后年度按原规定用途继续使用的资金。</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十四、基本支出：</w:t>
      </w:r>
      <w:r>
        <w:rPr>
          <w:rFonts w:hint="eastAsia" w:ascii="仿宋_GB2312" w:hAnsi="宋体" w:eastAsia="仿宋_GB2312" w:cs="Times New Roman"/>
          <w:sz w:val="32"/>
          <w:szCs w:val="32"/>
        </w:rPr>
        <w:t>指为保障机构正常运转、完成日常工作任务而发生的人员支出和公用支出。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十五、项目支出：</w:t>
      </w:r>
      <w:r>
        <w:rPr>
          <w:rFonts w:hint="eastAsia" w:ascii="仿宋_GB2312" w:hAnsi="宋体" w:eastAsia="仿宋_GB2312" w:cs="Times New Roman"/>
          <w:sz w:val="32"/>
          <w:szCs w:val="32"/>
        </w:rPr>
        <w:t>指在基本支出之外为完成特定行政任务和事业发展目标所发生的支出。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十六、“三公”经费：</w:t>
      </w:r>
      <w:r>
        <w:rPr>
          <w:rFonts w:hint="eastAsia" w:ascii="仿宋_GB2312" w:hAnsi="宋体" w:eastAsia="仿宋_GB2312" w:cs="Times New Roman"/>
          <w:sz w:val="32"/>
          <w:szCs w:val="32"/>
        </w:rPr>
        <w:t>纳入财政预决算管理的“三公”经费，是指部门用财政拨款安排的因公出国（境）费、公务用车购置及运行费和公务接待费。</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十七、机关运行经费：</w:t>
      </w:r>
      <w:r>
        <w:rPr>
          <w:rFonts w:hint="eastAsia" w:ascii="仿宋_GB2312" w:hAnsi="宋体" w:eastAsia="仿宋_GB2312" w:cs="Times New Roman"/>
          <w:sz w:val="32"/>
          <w:szCs w:val="32"/>
        </w:rPr>
        <w:t>是指各部门的公用经费，包括办公及印刷费、邮电费、差旅费、会议费、福利费、日常维修费、专业材料及一般设备购置费、办公用房水电费、办公用房取暖费、办公用房物业管理费、公务用车运行维护费以及其他费用。</w:t>
      </w:r>
    </w:p>
    <w:p>
      <w:pPr>
        <w:ind w:firstLine="4160" w:firstLineChars="1300"/>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tabs>
          <w:tab w:val="left" w:pos="3532"/>
        </w:tabs>
        <w:autoSpaceDE w:val="0"/>
        <w:autoSpaceDN w:val="0"/>
        <w:adjustRightInd w:val="0"/>
        <w:spacing w:line="560" w:lineRule="exact"/>
        <w:jc w:val="center"/>
        <w:rPr>
          <w:rFonts w:ascii="方正小标宋简体" w:hAnsi="宋体" w:eastAsia="方正小标宋简体" w:cs="Times New Roman"/>
          <w:b w:val="0"/>
          <w:bCs w:val="0"/>
          <w:sz w:val="36"/>
          <w:szCs w:val="36"/>
        </w:rPr>
      </w:pPr>
      <w:r>
        <w:rPr>
          <w:rFonts w:hint="eastAsia" w:ascii="方正小标宋简体" w:hAnsi="宋体" w:eastAsia="方正小标宋简体" w:cs="Times New Roman"/>
          <w:b w:val="0"/>
          <w:bCs w:val="0"/>
          <w:sz w:val="36"/>
          <w:szCs w:val="36"/>
        </w:rPr>
        <w:t>第五部分</w:t>
      </w:r>
    </w:p>
    <w:p>
      <w:pPr>
        <w:tabs>
          <w:tab w:val="left" w:pos="3532"/>
        </w:tabs>
        <w:autoSpaceDE w:val="0"/>
        <w:autoSpaceDN w:val="0"/>
        <w:adjustRightInd w:val="0"/>
        <w:spacing w:line="560" w:lineRule="exact"/>
        <w:jc w:val="center"/>
        <w:rPr>
          <w:rFonts w:ascii="方正小标宋简体" w:hAnsi="宋体" w:eastAsia="方正小标宋简体" w:cs="Times New Roman"/>
          <w:b w:val="0"/>
          <w:bCs w:val="0"/>
          <w:sz w:val="36"/>
          <w:szCs w:val="36"/>
        </w:rPr>
      </w:pPr>
      <w:r>
        <w:rPr>
          <w:rFonts w:hint="eastAsia" w:ascii="方正小标宋简体" w:hAnsi="宋体" w:eastAsia="方正小标宋简体" w:cs="Times New Roman"/>
          <w:b w:val="0"/>
          <w:bCs w:val="0"/>
          <w:sz w:val="36"/>
          <w:szCs w:val="36"/>
        </w:rPr>
        <w:t>内蒙古自治区特种设备检验研究院</w:t>
      </w:r>
    </w:p>
    <w:p>
      <w:pPr>
        <w:tabs>
          <w:tab w:val="left" w:pos="3532"/>
        </w:tabs>
        <w:autoSpaceDE w:val="0"/>
        <w:autoSpaceDN w:val="0"/>
        <w:adjustRightInd w:val="0"/>
        <w:spacing w:line="560" w:lineRule="exact"/>
        <w:jc w:val="center"/>
        <w:rPr>
          <w:rFonts w:ascii="方正小标宋简体" w:hAnsi="宋体" w:eastAsia="方正小标宋简体" w:cs="Times New Roman"/>
          <w:b w:val="0"/>
          <w:bCs w:val="0"/>
          <w:sz w:val="36"/>
          <w:szCs w:val="36"/>
        </w:rPr>
      </w:pPr>
      <w:r>
        <w:rPr>
          <w:rFonts w:hint="eastAsia" w:ascii="方正小标宋简体" w:hAnsi="宋体" w:eastAsia="方正小标宋简体" w:cs="Times New Roman"/>
          <w:b w:val="0"/>
          <w:bCs w:val="0"/>
          <w:sz w:val="36"/>
          <w:szCs w:val="36"/>
        </w:rPr>
        <w:t>2022年部门预算公开表</w:t>
      </w: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both"/>
        <w:rPr>
          <w:rFonts w:ascii="方正小标宋简体" w:hAnsi="宋体" w:eastAsia="方正小标宋简体" w:cs="Times New Roman"/>
          <w:bCs/>
          <w:sz w:val="36"/>
          <w:szCs w:val="36"/>
        </w:rPr>
      </w:pPr>
      <w:bookmarkStart w:id="0" w:name="_GoBack"/>
      <w:bookmarkEnd w:id="0"/>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一、收支总表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二、收入总表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三、支出总表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四、财政拨款收支总表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五、一般公共预算支出表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六、一般公共预算基本支出表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七、一般公共预算“三公”经费支出表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八、政府性基金预算支出表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九、国有资本经营预算支出表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十、项目支出表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十一、项目绩效目标表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十二、政府采购预算表</w:t>
      </w:r>
    </w:p>
    <w:p>
      <w:pPr>
        <w:tabs>
          <w:tab w:val="left" w:pos="3532"/>
        </w:tabs>
        <w:autoSpaceDE w:val="0"/>
        <w:autoSpaceDN w:val="0"/>
        <w:adjustRightInd w:val="0"/>
        <w:spacing w:line="560" w:lineRule="exact"/>
        <w:rPr>
          <w:rFonts w:ascii="方正小标宋简体" w:hAnsi="宋体" w:eastAsia="方正小标宋简体"/>
          <w:bCs/>
          <w:sz w:val="36"/>
          <w:szCs w:val="36"/>
        </w:rPr>
      </w:pPr>
    </w:p>
    <w:p>
      <w:pPr>
        <w:tabs>
          <w:tab w:val="left" w:pos="3532"/>
        </w:tabs>
        <w:autoSpaceDE w:val="0"/>
        <w:autoSpaceDN w:val="0"/>
        <w:adjustRightInd w:val="0"/>
        <w:spacing w:line="560" w:lineRule="exact"/>
        <w:rPr>
          <w:rFonts w:ascii="方正小标宋简体" w:hAnsi="宋体" w:eastAsia="方正小标宋简体"/>
          <w:bCs/>
          <w:sz w:val="36"/>
          <w:szCs w:val="36"/>
        </w:rPr>
      </w:pPr>
    </w:p>
    <w:p>
      <w:pPr>
        <w:tabs>
          <w:tab w:val="left" w:pos="3532"/>
        </w:tabs>
        <w:autoSpaceDE w:val="0"/>
        <w:autoSpaceDN w:val="0"/>
        <w:adjustRightInd w:val="0"/>
        <w:spacing w:line="560" w:lineRule="exact"/>
        <w:rPr>
          <w:rFonts w:ascii="方正小标宋简体" w:hAnsi="宋体" w:eastAsia="方正小标宋简体"/>
          <w:bCs/>
          <w:sz w:val="36"/>
          <w:szCs w:val="36"/>
        </w:rPr>
      </w:pPr>
    </w:p>
    <w:p>
      <w:pPr>
        <w:tabs>
          <w:tab w:val="left" w:pos="3532"/>
        </w:tabs>
        <w:autoSpaceDE w:val="0"/>
        <w:autoSpaceDN w:val="0"/>
        <w:adjustRightInd w:val="0"/>
        <w:spacing w:line="560" w:lineRule="exact"/>
        <w:rPr>
          <w:rFonts w:ascii="仿宋_GB2312" w:eastAsia="仿宋_GB2312"/>
          <w:sz w:val="32"/>
          <w:szCs w:val="32"/>
        </w:rPr>
      </w:pPr>
      <w:r>
        <w:rPr>
          <w:rFonts w:hint="eastAsia" w:ascii="仿宋_GB2312" w:eastAsia="仿宋_GB2312"/>
          <w:sz w:val="32"/>
          <w:szCs w:val="32"/>
        </w:rPr>
        <w:t>备注：1、预算公开表见附件</w:t>
      </w:r>
    </w:p>
    <w:p>
      <w:pPr>
        <w:tabs>
          <w:tab w:val="left" w:pos="3532"/>
        </w:tabs>
        <w:autoSpaceDE w:val="0"/>
        <w:autoSpaceDN w:val="0"/>
        <w:adjustRightInd w:val="0"/>
        <w:spacing w:line="560" w:lineRule="exact"/>
        <w:rPr>
          <w:rFonts w:ascii="黑体" w:hAnsi="黑体" w:eastAsia="黑体" w:cs="黑体"/>
          <w:bCs/>
          <w:sz w:val="32"/>
          <w:szCs w:val="32"/>
        </w:rPr>
      </w:pPr>
      <w:r>
        <w:rPr>
          <w:rFonts w:hint="eastAsia" w:ascii="仿宋_GB2312" w:eastAsia="仿宋_GB2312"/>
          <w:sz w:val="32"/>
          <w:szCs w:val="32"/>
        </w:rPr>
        <w:t xml:space="preserve">      2、按预算公开编制要求，预算公开报告及公开表的计数单位为万元，而2022年预算编制是以元为计数单位，因此小数点后第二位存在四舍五入的差异。</w:t>
      </w: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spacing w:beforeLines="50" w:afterLines="50" w:line="580" w:lineRule="exact"/>
        <w:ind w:firstLine="640" w:firstLineChars="200"/>
        <w:rPr>
          <w:rFonts w:hint="eastAsia" w:ascii="黑体" w:hAnsi="黑体" w:eastAsia="黑体" w:cs="黑体"/>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50B39"/>
    <w:multiLevelType w:val="multilevel"/>
    <w:tmpl w:val="07E50B39"/>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0D5A"/>
    <w:rsid w:val="00014BDD"/>
    <w:rsid w:val="000259B4"/>
    <w:rsid w:val="00035418"/>
    <w:rsid w:val="00057417"/>
    <w:rsid w:val="000C6838"/>
    <w:rsid w:val="000F5F74"/>
    <w:rsid w:val="00147EA4"/>
    <w:rsid w:val="00174D71"/>
    <w:rsid w:val="00180D5A"/>
    <w:rsid w:val="00261B37"/>
    <w:rsid w:val="00275B12"/>
    <w:rsid w:val="002C53C5"/>
    <w:rsid w:val="00327753"/>
    <w:rsid w:val="003B6560"/>
    <w:rsid w:val="00412E05"/>
    <w:rsid w:val="00423542"/>
    <w:rsid w:val="00462F0A"/>
    <w:rsid w:val="004B4A28"/>
    <w:rsid w:val="004D3985"/>
    <w:rsid w:val="004E76B7"/>
    <w:rsid w:val="00562834"/>
    <w:rsid w:val="00581CE0"/>
    <w:rsid w:val="005D2D0E"/>
    <w:rsid w:val="006830B0"/>
    <w:rsid w:val="0069264E"/>
    <w:rsid w:val="006A0368"/>
    <w:rsid w:val="006E019E"/>
    <w:rsid w:val="006F7CF2"/>
    <w:rsid w:val="00712772"/>
    <w:rsid w:val="00724462"/>
    <w:rsid w:val="007513C6"/>
    <w:rsid w:val="0079581B"/>
    <w:rsid w:val="007D46CB"/>
    <w:rsid w:val="0083130E"/>
    <w:rsid w:val="0083170F"/>
    <w:rsid w:val="00876F59"/>
    <w:rsid w:val="008D22CE"/>
    <w:rsid w:val="0091160D"/>
    <w:rsid w:val="00917C3B"/>
    <w:rsid w:val="009576DF"/>
    <w:rsid w:val="00976B7A"/>
    <w:rsid w:val="00A53458"/>
    <w:rsid w:val="00AD473C"/>
    <w:rsid w:val="00AF7B0F"/>
    <w:rsid w:val="00B62E48"/>
    <w:rsid w:val="00BB76F7"/>
    <w:rsid w:val="00BF7A42"/>
    <w:rsid w:val="00C104C6"/>
    <w:rsid w:val="00C15BC7"/>
    <w:rsid w:val="00C326B6"/>
    <w:rsid w:val="00CB4363"/>
    <w:rsid w:val="00D16CBC"/>
    <w:rsid w:val="00D24EE2"/>
    <w:rsid w:val="00D67E9D"/>
    <w:rsid w:val="00D703FE"/>
    <w:rsid w:val="00DA02C6"/>
    <w:rsid w:val="00E02ED2"/>
    <w:rsid w:val="00E259D5"/>
    <w:rsid w:val="00E77308"/>
    <w:rsid w:val="00EC0BE5"/>
    <w:rsid w:val="00F56C79"/>
    <w:rsid w:val="03864826"/>
    <w:rsid w:val="077247E6"/>
    <w:rsid w:val="102A6559"/>
    <w:rsid w:val="153970B2"/>
    <w:rsid w:val="16D51FEB"/>
    <w:rsid w:val="1C2F49B6"/>
    <w:rsid w:val="1FC8756A"/>
    <w:rsid w:val="21A02AED"/>
    <w:rsid w:val="24200CF3"/>
    <w:rsid w:val="267B113E"/>
    <w:rsid w:val="2F655284"/>
    <w:rsid w:val="3EDA1BB3"/>
    <w:rsid w:val="503D794D"/>
    <w:rsid w:val="575F40D9"/>
    <w:rsid w:val="6D65677F"/>
    <w:rsid w:val="78856FEC"/>
    <w:rsid w:val="7A104D0E"/>
    <w:rsid w:val="7CCB6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45" w:after="45" w:line="432" w:lineRule="auto"/>
      <w:ind w:right="150" w:firstLine="480"/>
      <w:jc w:val="left"/>
    </w:pPr>
    <w:rPr>
      <w:rFonts w:ascii="宋体" w:hAnsi="宋体" w:eastAsia="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uiPriority w:val="99"/>
    <w:rPr>
      <w:kern w:val="2"/>
      <w:sz w:val="18"/>
      <w:szCs w:val="18"/>
    </w:rPr>
  </w:style>
  <w:style w:type="character" w:customStyle="1" w:styleId="10">
    <w:name w:val="页脚 Char"/>
    <w:basedOn w:val="8"/>
    <w:link w:val="3"/>
    <w:semiHidden/>
    <w:uiPriority w:val="99"/>
    <w:rPr>
      <w:kern w:val="2"/>
      <w:sz w:val="18"/>
      <w:szCs w:val="18"/>
    </w:rPr>
  </w:style>
  <w:style w:type="character" w:customStyle="1" w:styleId="11">
    <w:name w:val="纯文本 Char"/>
    <w:basedOn w:val="8"/>
    <w:link w:val="2"/>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24</Pages>
  <Words>1162</Words>
  <Characters>6626</Characters>
  <Lines>55</Lines>
  <Paragraphs>15</Paragraphs>
  <TotalTime>1</TotalTime>
  <ScaleCrop>false</ScaleCrop>
  <LinksUpToDate>false</LinksUpToDate>
  <CharactersWithSpaces>7773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2022-02-16T00:30:00Z</dcterms:created>
  <dc:creator>lenovo</dc:creator>
  <cp:lastModifiedBy>jcc</cp:lastModifiedBy>
  <dcterms:modified xsi:type="dcterms:W3CDTF">2022-02-22T08:52:22Z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33D939F30E4D46AD904B43FA4B8C6F5F</vt:lpwstr>
  </property>
</Properties>
</file>