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sz w:val="28"/>
          <w:szCs w:val="28"/>
        </w:rPr>
      </w:pPr>
    </w:p>
    <w:p>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b/>
          <w:sz w:val="28"/>
          <w:szCs w:val="28"/>
        </w:rPr>
      </w:pPr>
      <w:r>
        <w:rPr>
          <w:rFonts w:hint="eastAsia" w:ascii="微软雅黑" w:hAnsi="微软雅黑" w:eastAsia="微软雅黑"/>
          <w:b/>
          <w:sz w:val="28"/>
          <w:szCs w:val="28"/>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b/>
          <w:sz w:val="28"/>
          <w:szCs w:val="28"/>
        </w:rPr>
      </w:pPr>
    </w:p>
    <w:p>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b/>
          <w:sz w:val="28"/>
          <w:szCs w:val="28"/>
        </w:rPr>
      </w:pPr>
    </w:p>
    <w:p>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b/>
          <w:sz w:val="28"/>
          <w:szCs w:val="28"/>
        </w:rPr>
      </w:pPr>
    </w:p>
    <w:p>
      <w:pPr>
        <w:keepNext w:val="0"/>
        <w:keepLines w:val="0"/>
        <w:widowControl w:val="0"/>
        <w:suppressLineNumbers w:val="0"/>
        <w:spacing w:before="0" w:beforeAutospacing="0" w:after="0" w:afterAutospacing="0" w:line="560" w:lineRule="exact"/>
        <w:ind w:left="0" w:right="0"/>
        <w:jc w:val="both"/>
        <w:rPr>
          <w:rFonts w:hint="eastAsia" w:ascii="微软雅黑" w:hAnsi="微软雅黑" w:eastAsia="微软雅黑"/>
          <w:b/>
          <w:sz w:val="28"/>
          <w:szCs w:val="28"/>
        </w:rPr>
      </w:pPr>
    </w:p>
    <w:p>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b/>
          <w:sz w:val="28"/>
          <w:szCs w:val="28"/>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内蒙古自治区特种设备检验研究院</w:t>
      </w:r>
      <w:r>
        <w:rPr>
          <w:rFonts w:hint="eastAsia" w:ascii="方正小标宋简体" w:hAnsi="方正小标宋简体" w:eastAsia="方正小标宋简体" w:cs="方正小标宋简体"/>
          <w:spacing w:val="113"/>
          <w:kern w:val="2"/>
          <w:sz w:val="44"/>
          <w:szCs w:val="44"/>
          <w:lang w:eastAsia="zh-CN"/>
        </w:rPr>
        <w:t>通辽</w:t>
      </w:r>
      <w:r>
        <w:rPr>
          <w:rFonts w:hint="eastAsia" w:ascii="方正小标宋简体" w:hAnsi="方正小标宋简体" w:eastAsia="方正小标宋简体" w:cs="方正小标宋简体"/>
          <w:spacing w:val="113"/>
          <w:kern w:val="2"/>
          <w:sz w:val="44"/>
          <w:szCs w:val="44"/>
        </w:rPr>
        <w:t>分院</w:t>
      </w:r>
      <w:bookmarkStart w:id="0" w:name="_GoBack"/>
    </w:p>
    <w:bookmarkEnd w:id="0"/>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rPr>
          <w:rFonts w:ascii="微软雅黑" w:hAnsi="微软雅黑" w:eastAsia="微软雅黑"/>
          <w:b/>
          <w:sz w:val="28"/>
          <w:szCs w:val="28"/>
        </w:rPr>
      </w:pPr>
    </w:p>
    <w:p>
      <w:pPr>
        <w:rPr>
          <w:rFonts w:ascii="微软雅黑" w:hAnsi="微软雅黑" w:eastAsia="微软雅黑"/>
          <w:b/>
          <w:sz w:val="28"/>
          <w:szCs w:val="28"/>
        </w:rPr>
      </w:pPr>
      <w:r>
        <w:rPr>
          <w:rFonts w:ascii="微软雅黑" w:hAnsi="微软雅黑" w:eastAsia="微软雅黑"/>
          <w:sz w:val="28"/>
          <w:szCs w:val="28"/>
        </w:rPr>
        <w:t xml:space="preserve">                 </w:t>
      </w:r>
      <w:r>
        <w:rPr>
          <w:rFonts w:ascii="微软雅黑" w:hAnsi="微软雅黑" w:eastAsia="微软雅黑"/>
          <w:b/>
          <w:sz w:val="28"/>
          <w:szCs w:val="28"/>
        </w:rPr>
        <w:t xml:space="preserve">    </w:t>
      </w: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通辽</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right="0"/>
        <w:rPr>
          <w:rFonts w:hint="eastAsia" w:ascii="微软雅黑" w:hAnsi="微软雅黑" w:eastAsia="微软雅黑"/>
          <w:sz w:val="28"/>
          <w:szCs w:val="28"/>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一、主要职能</w:t>
      </w:r>
    </w:p>
    <w:p>
      <w:pPr>
        <w:ind w:firstLine="643" w:firstLineChars="200"/>
        <w:rPr>
          <w:rFonts w:ascii="微软雅黑" w:hAnsi="微软雅黑" w:eastAsia="微软雅黑"/>
          <w:sz w:val="28"/>
          <w:szCs w:val="28"/>
        </w:rPr>
      </w:pPr>
      <w:r>
        <w:rPr>
          <w:rFonts w:hint="eastAsia" w:ascii="楷体_GB2312" w:hAnsi="宋体" w:eastAsia="楷体_GB2312" w:cs="楷体_GB2312"/>
          <w:b/>
          <w:bCs w:val="0"/>
          <w:kern w:val="0"/>
          <w:sz w:val="32"/>
          <w:szCs w:val="32"/>
          <w:lang w:bidi="ar"/>
        </w:rPr>
        <w:t>（一）</w:t>
      </w:r>
      <w:r>
        <w:rPr>
          <w:rFonts w:hint="eastAsia" w:ascii="楷体_GB2312" w:hAnsi="宋体" w:eastAsia="楷体_GB2312" w:cs="楷体_GB2312"/>
          <w:b/>
          <w:bCs w:val="0"/>
          <w:kern w:val="0"/>
          <w:sz w:val="32"/>
          <w:szCs w:val="32"/>
          <w:lang w:eastAsia="zh-CN" w:bidi="ar"/>
        </w:rPr>
        <w:t>单位</w:t>
      </w:r>
      <w:r>
        <w:rPr>
          <w:rFonts w:hint="eastAsia" w:ascii="楷体_GB2312" w:hAnsi="宋体" w:eastAsia="楷体_GB2312" w:cs="楷体_GB2312"/>
          <w:b/>
          <w:bCs w:val="0"/>
          <w:kern w:val="0"/>
          <w:sz w:val="32"/>
          <w:szCs w:val="32"/>
          <w:lang w:bidi="ar"/>
        </w:rPr>
        <w:t>职能</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根据中共内蒙古自治区委员会机构编制委员会印发的《关于自治区市场监督管理局所属事业单位机构职能的批复》（内机编办发〔2020〕148号），设立内蒙古自治区特种设备检验研究院通辽分院，为</w:t>
      </w:r>
      <w:r>
        <w:rPr>
          <w:rFonts w:hint="eastAsia" w:ascii="仿宋_GB2312" w:hAnsi="仿宋_GB2312" w:eastAsia="仿宋_GB2312" w:cs="仿宋_GB2312"/>
          <w:kern w:val="0"/>
          <w:sz w:val="32"/>
          <w:szCs w:val="32"/>
        </w:rPr>
        <w:t>为自治区特种设备检验研究院所属三级预算单位，公益二类事业单位，副处级单位。</w:t>
      </w:r>
    </w:p>
    <w:p>
      <w:pPr>
        <w:pStyle w:val="5"/>
        <w:keepNext w:val="0"/>
        <w:keepLines w:val="0"/>
        <w:widowControl/>
        <w:suppressLineNumbers w:val="0"/>
        <w:spacing w:before="0" w:beforeAutospacing="0" w:after="0" w:afterAutospacing="0" w:line="580" w:lineRule="exact"/>
        <w:ind w:left="0" w:right="0" w:firstLine="643" w:firstLineChars="200"/>
        <w:jc w:val="both"/>
        <w:rPr>
          <w:rFonts w:hint="eastAsia" w:ascii="楷体_GB2312" w:hAnsi="宋体" w:eastAsia="楷体_GB2312" w:cs="楷体_GB2312"/>
          <w:b/>
          <w:bCs w:val="0"/>
          <w:kern w:val="0"/>
          <w:sz w:val="32"/>
          <w:szCs w:val="32"/>
        </w:rPr>
      </w:pPr>
      <w:r>
        <w:rPr>
          <w:rFonts w:hint="eastAsia" w:ascii="楷体_GB2312" w:hAnsi="宋体" w:eastAsia="楷体_GB2312" w:cs="楷体_GB2312"/>
          <w:b/>
          <w:bCs w:val="0"/>
          <w:kern w:val="0"/>
          <w:sz w:val="32"/>
          <w:szCs w:val="32"/>
        </w:rPr>
        <w:t>（二）</w:t>
      </w:r>
      <w:r>
        <w:rPr>
          <w:rFonts w:hint="eastAsia" w:ascii="楷体_GB2312" w:eastAsia="楷体_GB2312" w:cs="楷体_GB2312"/>
          <w:b/>
          <w:bCs w:val="0"/>
          <w:kern w:val="0"/>
          <w:sz w:val="32"/>
          <w:szCs w:val="32"/>
          <w:lang w:eastAsia="zh-CN"/>
        </w:rPr>
        <w:t>单位</w:t>
      </w:r>
      <w:r>
        <w:rPr>
          <w:rFonts w:hint="eastAsia" w:ascii="楷体_GB2312" w:hAnsi="宋体" w:eastAsia="楷体_GB2312" w:cs="楷体_GB2312"/>
          <w:b/>
          <w:bCs w:val="0"/>
          <w:kern w:val="0"/>
          <w:sz w:val="32"/>
          <w:szCs w:val="32"/>
        </w:rPr>
        <w:t>职责</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1、开展特种设备（含进口）监督检验、定期检验、仲裁检验、司法鉴定、型式实验、锅炉水（介）质检验、无损检测、能效测试、材料分析、环保检测、安全阀校验及其他阀门检验。</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2、承担特种设备安全附件、仪表及安全保护装置的检验工作。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3、开展长输管道、公用管道、厂（场）内机动车辆、大型游乐设施等野外在用特种设备检验检测工作。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4、承担安全生产、职业卫生、烟花爆竹、劳动防护用品等检测与评价工作。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5、承担安全生产、特种设备及相关领域从业人员的法规宣传、技能培训，协助做好从业人员相关考核工作。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6、承担特种设备相关科学研究、成果转化和推广应用工作。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7、按取得资质开展相关业务及其他委托性检验检测、技术服务工作。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8、承担自治区市场监督管理局交办的其他相关工作。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二、机构设置</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通辽分院，核定事业编制57名，核定单位领导职数4名〔1正（分院院长1名，副处级）3副（分院副院长3名，正科级）〕，内设正科级机构5个：综合管理部、业务管理部、机电类特种设备检验部、承压类特种设备检验部、气瓶检验部，科级领导职数8名（5正3副）。事业编在职人员57人，聘用人员35人，退休人员20人。</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rPr>
          <w:rFonts w:ascii="微软雅黑" w:hAnsi="微软雅黑" w:eastAsia="微软雅黑"/>
          <w:b/>
          <w:sz w:val="28"/>
          <w:szCs w:val="28"/>
        </w:rPr>
      </w:pPr>
    </w:p>
    <w:p>
      <w:pPr>
        <w:ind w:firstLine="640" w:firstLineChars="200"/>
        <w:rPr>
          <w:rFonts w:ascii="微软雅黑" w:hAnsi="微软雅黑" w:eastAsia="微软雅黑"/>
          <w:sz w:val="28"/>
          <w:szCs w:val="28"/>
        </w:rPr>
      </w:pPr>
      <w:r>
        <w:rPr>
          <w:rFonts w:hint="eastAsia" w:ascii="黑体" w:hAnsi="宋体" w:eastAsia="黑体" w:cs="黑体"/>
          <w:bCs/>
          <w:kern w:val="0"/>
          <w:sz w:val="32"/>
          <w:szCs w:val="32"/>
          <w:lang w:bidi="ar"/>
        </w:rPr>
        <w:t>一、2022年公共预算收支情况的总体说明</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2022年部门预算总收入为2677.39万元，无政府性基金预算拨款，其中：一般公共预算收入2182.66万元，事业单位经营收480万元，上年结转结余14.73万元。</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 w:hAnsi="仿宋" w:eastAsia="仿宋" w:cs="仿宋"/>
          <w:kern w:val="0"/>
          <w:sz w:val="32"/>
          <w:szCs w:val="32"/>
          <w:lang w:bidi="ar"/>
        </w:rPr>
      </w:pPr>
      <w:r>
        <w:rPr>
          <w:rFonts w:hint="eastAsia" w:ascii="仿宋_GB2312" w:hAnsi="仿宋_GB2312" w:eastAsia="仿宋_GB2312" w:cs="仿宋_GB2312"/>
          <w:kern w:val="0"/>
          <w:sz w:val="32"/>
          <w:szCs w:val="32"/>
          <w:lang w:bidi="ar"/>
        </w:rPr>
        <w:t>2022年部门预算总支出为2677.39万元，其中:基本支出安排0.54万元，项目支出2192.73万元。用于保障市场监督管理事务2192.73万元，其中：市场秩序执法1394.73万元、其他市场监督管理事务798万元。事业单位经营支出480万元。</w:t>
      </w:r>
    </w:p>
    <w:p>
      <w:pPr>
        <w:ind w:firstLine="640" w:firstLineChars="200"/>
        <w:rPr>
          <w:rFonts w:ascii="微软雅黑" w:hAnsi="微软雅黑" w:eastAsia="微软雅黑"/>
          <w:sz w:val="28"/>
          <w:szCs w:val="28"/>
        </w:rPr>
      </w:pPr>
      <w:r>
        <w:rPr>
          <w:rFonts w:hint="eastAsia" w:ascii="黑体" w:hAnsi="宋体" w:eastAsia="黑体" w:cs="黑体"/>
          <w:bCs/>
          <w:kern w:val="0"/>
          <w:sz w:val="32"/>
          <w:szCs w:val="32"/>
          <w:lang w:bidi="ar"/>
        </w:rPr>
        <w:t>二、2022年一般公共预算拨款收支情况说明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财政拨款规模情况</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内蒙古自治区特种设备检验研究院通辽分院2022年财政拨款收支总预算为2197.39万元，其中：本年一般公共预算拨款收入数为2182.66万元，上年结转结余14.73万元。</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（二）</w:t>
      </w:r>
      <w:r>
        <w:rPr>
          <w:rFonts w:hint="eastAsia" w:ascii="仿宋_GB2312" w:hAnsi="仿宋_GB2312" w:eastAsia="仿宋_GB2312" w:cs="仿宋_GB2312"/>
          <w:kern w:val="0"/>
          <w:sz w:val="32"/>
          <w:szCs w:val="32"/>
          <w:lang w:bidi="ar"/>
        </w:rPr>
        <w:t>财政拨款预算结构情况</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2022年部门预算中，财政拨款支出数为2197.39万元，用于以下方面：一般公共服务（类）支出2192.73万元，占支出的99.79%；社会保障和就业（类）支出4.66万元，占支出的0.21%</w:t>
      </w:r>
      <w:r>
        <w:rPr>
          <w:rFonts w:hint="eastAsia" w:ascii="仿宋_GB2312" w:hAnsi="仿宋_GB2312" w:eastAsia="仿宋_GB2312" w:cs="仿宋_GB2312"/>
          <w:kern w:val="0"/>
          <w:sz w:val="32"/>
          <w:szCs w:val="32"/>
          <w:lang w:eastAsia="zh-CN" w:bidi="ar"/>
        </w:rPr>
        <w:t>。</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（三）一般公共预算拨款收入具体使用安排情况</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2022年财政拨款预算数为2197.39万元，比2021年财政拨款预算数减少330.89万元，具体情况如下：</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1.一般公共服务类2022年财政拨款预算数为2193.27万元，比上年减少130.89万元。其中：</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(1)一般公共服务（类）市场监督管理事务（款）市场秩序执法(项)：2022年财政拨款预算数为1394.73万元。主要用于：检验检测能力提升。</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(2)一般公共服务（类）市场监督管理事务（款）事业运行（项）：2022年财政拨款预算数为0.54万元。主要用于：机关运行经费支出，保障机构正常运行、开展日常工作。</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(3)一般公共服务（类）市场监督管理事务（款）其他市场监督管理事务（项）：2022年财政拨款预算数为798万元。主要用于：推进自治区检验检测机构改革，规范检验检测市场，完善检验检测体系，指导协调检验检测行业规范发展开展的相关工作。</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2.社会保障和就业支出科学技术支出类2022年财政拨款预算数为4.12万元，比上年减少105.68万元，其中：</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(1)社会保障和就业支出（类）行政事业单位养老支出（款）：2022年财政拨款预算数为4.12万元，事业单位离退休（项）4.12万元，主要用于归口管理的事业单位开支的离退休经费。</w:t>
      </w:r>
    </w:p>
    <w:p>
      <w:pPr>
        <w:keepNext w:val="0"/>
        <w:keepLines w:val="0"/>
        <w:widowControl/>
        <w:suppressLineNumbers w:val="0"/>
        <w:autoSpaceDE w:val="0"/>
        <w:autoSpaceDN w:val="0"/>
        <w:spacing w:before="0" w:beforeAutospacing="1" w:after="0" w:afterAutospacing="1" w:line="580" w:lineRule="atLeast"/>
        <w:ind w:left="600" w:leftChars="0" w:right="0" w:rightChars="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 w:hAnsi="仿宋" w:eastAsia="仿宋" w:cs="仿宋"/>
          <w:kern w:val="0"/>
          <w:sz w:val="32"/>
          <w:szCs w:val="32"/>
          <w:lang w:bidi="ar"/>
        </w:rPr>
      </w:pPr>
      <w:r>
        <w:rPr>
          <w:rFonts w:hint="eastAsia" w:ascii="仿宋_GB2312" w:hAnsi="仿宋_GB2312" w:eastAsia="仿宋_GB2312" w:cs="仿宋_GB2312"/>
          <w:kern w:val="0"/>
          <w:sz w:val="32"/>
          <w:szCs w:val="32"/>
          <w:lang w:eastAsia="zh-CN" w:bidi="ar"/>
        </w:rPr>
        <w:t>我单位2022年无政府性基金预算拨款支出。</w:t>
      </w:r>
    </w:p>
    <w:p>
      <w:pPr>
        <w:keepNext w:val="0"/>
        <w:keepLines w:val="0"/>
        <w:widowControl/>
        <w:suppressLineNumbers w:val="0"/>
        <w:autoSpaceDE w:val="0"/>
        <w:autoSpaceDN w:val="0"/>
        <w:spacing w:before="0" w:beforeAutospacing="1" w:after="0" w:afterAutospacing="1" w:line="580" w:lineRule="atLeast"/>
        <w:ind w:left="600" w:leftChars="0" w:right="0" w:rightChars="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 w:hAnsi="仿宋" w:eastAsia="仿宋" w:cs="仿宋"/>
          <w:kern w:val="0"/>
          <w:sz w:val="32"/>
          <w:szCs w:val="32"/>
          <w:lang w:bidi="ar"/>
        </w:rPr>
      </w:pPr>
      <w:r>
        <w:rPr>
          <w:rFonts w:hint="eastAsia" w:ascii="仿宋_GB2312" w:hAnsi="仿宋_GB2312" w:eastAsia="仿宋_GB2312" w:cs="仿宋_GB2312"/>
          <w:kern w:val="0"/>
          <w:sz w:val="32"/>
          <w:szCs w:val="32"/>
          <w:lang w:eastAsia="zh-CN" w:bidi="ar"/>
        </w:rPr>
        <w:t>我单位2022年无国有资本经营预算拨款支出。</w:t>
      </w:r>
    </w:p>
    <w:p>
      <w:pPr>
        <w:keepNext w:val="0"/>
        <w:keepLines w:val="0"/>
        <w:widowControl/>
        <w:suppressLineNumbers w:val="0"/>
        <w:autoSpaceDE w:val="0"/>
        <w:autoSpaceDN w:val="0"/>
        <w:spacing w:before="0" w:beforeAutospacing="1" w:after="0" w:afterAutospacing="1" w:line="580" w:lineRule="atLeast"/>
        <w:ind w:left="600" w:leftChars="0" w:right="0" w:rightChars="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五、“三公经费”财政拨款支出预算的情况说明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2022年度“三公经费”财政拨款支出预算数为86.65万元，比上年增加25.5万元，上升41.70%，占总支出的3.24%，其中因公出国（境)费、公务接待费预算均比2021年度均有所下降，公务用车运行维护费与上年持平。主要原因是按照中央“八项规定”要求，厉行节约，严格控制“三公”经费支出，减少因公出国（境）团数和人数，压缩公务接待费和公务用车运行维护费,但因检验检测专用技术用车老旧耗损，故本年增加了公务用车购置预算。其中：</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1.因公出国（境）费预算为0万元</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2.公务接待费3万元，比上年预算数减少2.5万元，下降45.45%；</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3.公务用车运行维护费预算43.65万元，与上年预算数持平。</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4.公务用车购置预算数为40万元。</w:t>
      </w:r>
    </w:p>
    <w:p>
      <w:pPr>
        <w:rPr>
          <w:rFonts w:ascii="微软雅黑" w:hAnsi="微软雅黑" w:eastAsia="微软雅黑"/>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w:t>
      </w:r>
      <w:r>
        <w:rPr>
          <w:rFonts w:hint="eastAsia" w:ascii="黑体" w:hAnsi="宋体" w:eastAsia="黑体" w:cs="黑体"/>
          <w:bCs/>
          <w:kern w:val="2"/>
          <w:sz w:val="32"/>
          <w:szCs w:val="32"/>
          <w:lang w:eastAsia="zh-CN" w:bidi="ar"/>
        </w:rPr>
        <w:t>事业</w:t>
      </w:r>
      <w:r>
        <w:rPr>
          <w:rFonts w:hint="eastAsia" w:ascii="黑体" w:hAnsi="宋体" w:eastAsia="黑体" w:cs="黑体"/>
          <w:bCs/>
          <w:kern w:val="2"/>
          <w:sz w:val="32"/>
          <w:szCs w:val="32"/>
          <w:lang w:bidi="ar"/>
        </w:rPr>
        <w:t>运行经费安排情况说明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通辽分院运行经费财政拨款预算为1380万元，其中:其他社会保障11.40万元、其他工资福利500.00万元、办公费30万元、印刷费5.35万元、手续费1万元、水费1.5万元、电费7万元、邮电费1万元、取暖费18万元、物业管理费1.5万元、差旅费87.59万元、维修(护)费60万元、培训费30万元、公务接待费3万元、专用材料费40万元、劳务费5万元、委托业务费12万元、工会经费23.78万元、福利费42.23万元、公务用车运行维护费43.65万元、办公设备购置25万元、专用设备购置380万元、信息网络购置及运行11万元、公务用车购置40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二、“政府采购计划”预算情况说明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2022年共编制政府采购预算380万元。其中货物类政府采购预算为380万元。主要为检验检测仪器设备。</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三、国有资产占有使用和增量情况说明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 w:hAnsi="仿宋" w:eastAsia="仿宋" w:cs="仿宋"/>
          <w:kern w:val="0"/>
          <w:sz w:val="32"/>
          <w:szCs w:val="32"/>
          <w:lang w:bidi="ar"/>
        </w:rPr>
      </w:pPr>
      <w:r>
        <w:rPr>
          <w:rFonts w:hint="eastAsia" w:ascii="仿宋_GB2312" w:hAnsi="仿宋_GB2312" w:eastAsia="仿宋_GB2312" w:cs="仿宋_GB2312"/>
          <w:kern w:val="0"/>
          <w:sz w:val="32"/>
          <w:szCs w:val="32"/>
          <w:lang w:bidi="ar"/>
        </w:rPr>
        <w:t>截至2021年末，内蒙古自治区特种设备检验研究院通辽分院固定资产为6253.87万元，2022年内蒙古自治区特种设备检验研究院通辽分院国有资产配置计划资金为380万元。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rPr>
      </w:pPr>
      <w:r>
        <w:rPr>
          <w:rFonts w:hint="eastAsia" w:ascii="黑体" w:hAnsi="宋体" w:eastAsia="黑体" w:cs="黑体"/>
          <w:bCs/>
          <w:kern w:val="2"/>
          <w:sz w:val="32"/>
          <w:szCs w:val="32"/>
        </w:rPr>
        <w:t>四、部门组织征收收入计划</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2022年给部门内蒙古自治区特种设备检验研究院通辽分院组织征收收入计划2300万元，全部纳入预算管理。其中特种设备检验检测费2300万元。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五、绩效目标设置情况说明</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部门预算编制要求，对重点项目预算的绩效目标进行设置。2022年，我院对共计5个预算项目设置绩效目标，从预算执行、产出、效益、满意度等多方面对预算项目进行综合绩效管理。设计项目绩效指标52项，一级指标中：</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产出指标33项中：数量指标9项，包括科目调整次数、足额保障率、特种设备检验数量、管道检测数量、在职职工基本工资发放人数、社会保险补助人数、津贴补贴人数、检验检测数量。质量指标11项，包括产品合格率、培训合格率、在职职工工资足额发放率、社会保险补助足额缴纳率、补助人员覆盖率、补贴资金发放形式便捷率、补贴资金发放次数保障率、补助对象审核率等。时效指标8项，包括发放及时率、培训合格率、完成时间、各项补贴发放及时率、补助资金支出及时率、社保等资金缴纳及时率、工资发放及时率。成本指标5项，包括特种设备检验成本率、人均培训成本、人员工资发放标准等。</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效益指标12项中：经济效益指标4项，包括结余率、效益增长率、三公经费控制率、运转保障率。社会效益指标4项，包括检验失误率、提升所属单位财务管理保障职工生活水平、污水排放率、效益增长率。生态效益指标1项，为效益增长率。可持续影响指标3项，包括对本行业未来持续发展的影响、补贴补助发放能够吸引后备人才，人才引进增长率。</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满意度指标7项，包括公众投诉率、项目使用人对项目的满意程度、公众对服务的认可度、在职员工满意度。</w:t>
      </w: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1"/>
        </w:numPr>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center"/>
        <w:rPr>
          <w:rFonts w:hint="eastAsia" w:ascii="方正小标宋简体" w:hAnsi="方正小标宋简体" w:eastAsia="方正小标宋简体" w:cs="方正小标宋简体"/>
          <w:bCs/>
          <w:kern w:val="2"/>
          <w:sz w:val="36"/>
          <w:szCs w:val="36"/>
        </w:rPr>
      </w:pP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ascii="微软雅黑" w:hAnsi="微软雅黑" w:eastAsia="微软雅黑"/>
          <w:sz w:val="28"/>
          <w:szCs w:val="28"/>
        </w:rPr>
      </w:pPr>
      <w:r>
        <w:rPr>
          <w:rFonts w:hint="eastAsia" w:ascii="黑体" w:hAnsi="宋体" w:eastAsia="黑体" w:cs="黑体"/>
          <w:b/>
          <w:bCs/>
          <w:kern w:val="0"/>
          <w:sz w:val="32"/>
          <w:szCs w:val="32"/>
        </w:rPr>
        <w:t xml:space="preserve"> </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A381B"/>
    <w:multiLevelType w:val="singleLevel"/>
    <w:tmpl w:val="7C4A381B"/>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5A"/>
    <w:rsid w:val="0013196B"/>
    <w:rsid w:val="00180D5A"/>
    <w:rsid w:val="001F61F1"/>
    <w:rsid w:val="00250E55"/>
    <w:rsid w:val="002B2BD5"/>
    <w:rsid w:val="002C1EFE"/>
    <w:rsid w:val="00327753"/>
    <w:rsid w:val="003D74B8"/>
    <w:rsid w:val="003E59B5"/>
    <w:rsid w:val="003F3A12"/>
    <w:rsid w:val="00412E05"/>
    <w:rsid w:val="00425AB7"/>
    <w:rsid w:val="00496A42"/>
    <w:rsid w:val="00530364"/>
    <w:rsid w:val="006922FC"/>
    <w:rsid w:val="007733A9"/>
    <w:rsid w:val="007D45F8"/>
    <w:rsid w:val="00820535"/>
    <w:rsid w:val="008D1BF9"/>
    <w:rsid w:val="00B12AEF"/>
    <w:rsid w:val="00B13D93"/>
    <w:rsid w:val="00BB59DE"/>
    <w:rsid w:val="00BB76F7"/>
    <w:rsid w:val="00C1267F"/>
    <w:rsid w:val="00CB7EA9"/>
    <w:rsid w:val="00CC2A96"/>
    <w:rsid w:val="00CD1573"/>
    <w:rsid w:val="00CE21D4"/>
    <w:rsid w:val="00D56663"/>
    <w:rsid w:val="00E25C04"/>
    <w:rsid w:val="00E77308"/>
    <w:rsid w:val="00E93AE7"/>
    <w:rsid w:val="00EA2321"/>
    <w:rsid w:val="00F27F4A"/>
    <w:rsid w:val="0D421A6D"/>
    <w:rsid w:val="5FD24606"/>
    <w:rsid w:val="75E8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customStyle="1" w:styleId="5">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744</Words>
  <Characters>4243</Characters>
  <Lines>35</Lines>
  <Paragraphs>9</Paragraphs>
  <TotalTime>1</TotalTime>
  <ScaleCrop>false</ScaleCrop>
  <LinksUpToDate>false</LinksUpToDate>
  <CharactersWithSpaces>4978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2022-02-22T09:25:16Z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CAE46304C1474922AC8B44938C5C95C6</vt:lpwstr>
  </property>
</Properties>
</file>