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C9F7E">
      <w:pPr>
        <w:spacing w:line="360" w:lineRule="auto"/>
        <w:jc w:val="center"/>
        <w:rPr>
          <w:rFonts w:hint="eastAsia" w:ascii="宋体" w:hAnsi="宋体"/>
          <w:sz w:val="24"/>
        </w:rPr>
      </w:pPr>
    </w:p>
    <w:p w14:paraId="4FEF7CD0">
      <w:pPr>
        <w:spacing w:line="360" w:lineRule="auto"/>
        <w:jc w:val="center"/>
        <w:rPr>
          <w:rFonts w:hint="eastAsia" w:ascii="宋体" w:hAnsi="宋体"/>
          <w:sz w:val="24"/>
        </w:rPr>
      </w:pPr>
    </w:p>
    <w:p w14:paraId="319421D0">
      <w:pPr>
        <w:spacing w:line="360" w:lineRule="auto"/>
        <w:jc w:val="center"/>
        <w:rPr>
          <w:rFonts w:hint="eastAsia" w:ascii="宋体" w:hAnsi="宋体"/>
          <w:sz w:val="24"/>
        </w:rPr>
      </w:pPr>
    </w:p>
    <w:p w14:paraId="1AE1F1C5">
      <w:pPr>
        <w:spacing w:line="360" w:lineRule="auto"/>
        <w:jc w:val="center"/>
        <w:rPr>
          <w:rFonts w:hint="eastAsia" w:ascii="宋体" w:hAnsi="宋体"/>
          <w:sz w:val="24"/>
        </w:rPr>
      </w:pPr>
    </w:p>
    <w:p w14:paraId="6904D7CC">
      <w:pPr>
        <w:spacing w:line="360" w:lineRule="auto"/>
        <w:jc w:val="center"/>
        <w:rPr>
          <w:rFonts w:hint="eastAsia" w:ascii="宋体" w:hAnsi="宋体"/>
          <w:b/>
          <w:bCs/>
          <w:sz w:val="44"/>
          <w:szCs w:val="44"/>
        </w:rPr>
      </w:pPr>
      <w:r>
        <w:rPr>
          <w:rFonts w:ascii="宋体" w:hAnsi="宋体"/>
          <w:b/>
          <w:bCs/>
          <w:sz w:val="44"/>
          <w:szCs w:val="44"/>
        </w:rPr>
        <w:t>2023</w:t>
      </w:r>
      <w:r>
        <w:rPr>
          <w:rFonts w:hint="eastAsia" w:ascii="宋体" w:hAnsi="宋体"/>
          <w:b/>
          <w:bCs/>
          <w:sz w:val="44"/>
          <w:szCs w:val="44"/>
        </w:rPr>
        <w:t>年度内蒙古自治区特种设备检验</w:t>
      </w:r>
    </w:p>
    <w:p w14:paraId="79D7A704">
      <w:pPr>
        <w:spacing w:line="360" w:lineRule="auto"/>
        <w:jc w:val="center"/>
        <w:rPr>
          <w:rFonts w:hint="eastAsia" w:ascii="宋体" w:hAnsi="宋体"/>
          <w:b/>
          <w:bCs/>
          <w:sz w:val="44"/>
          <w:szCs w:val="44"/>
        </w:rPr>
      </w:pPr>
      <w:r>
        <w:rPr>
          <w:rFonts w:hint="eastAsia" w:ascii="宋体" w:hAnsi="宋体"/>
          <w:b/>
          <w:bCs/>
          <w:sz w:val="44"/>
          <w:szCs w:val="44"/>
        </w:rPr>
        <w:t>研究院巴彦淖尔分院</w:t>
      </w:r>
    </w:p>
    <w:p w14:paraId="612F3299">
      <w:pPr>
        <w:spacing w:line="360" w:lineRule="auto"/>
        <w:jc w:val="center"/>
        <w:rPr>
          <w:rFonts w:hint="eastAsia" w:ascii="宋体" w:hAnsi="宋体"/>
          <w:b/>
          <w:bCs/>
          <w:sz w:val="44"/>
          <w:szCs w:val="44"/>
        </w:rPr>
      </w:pPr>
      <w:r>
        <w:rPr>
          <w:rFonts w:hint="eastAsia" w:ascii="宋体" w:hAnsi="宋体"/>
          <w:b/>
          <w:bCs/>
          <w:sz w:val="44"/>
          <w:szCs w:val="44"/>
        </w:rPr>
        <w:t>决算公开</w:t>
      </w:r>
    </w:p>
    <w:p w14:paraId="6AB4F205">
      <w:pPr>
        <w:spacing w:line="360" w:lineRule="auto"/>
        <w:jc w:val="center"/>
        <w:rPr>
          <w:rFonts w:hint="eastAsia" w:ascii="宋体" w:hAnsi="宋体"/>
          <w:b/>
          <w:bCs/>
          <w:sz w:val="52"/>
          <w:szCs w:val="52"/>
        </w:rPr>
      </w:pPr>
    </w:p>
    <w:p w14:paraId="3AB58CDF">
      <w:pPr>
        <w:spacing w:line="360" w:lineRule="auto"/>
        <w:jc w:val="center"/>
        <w:rPr>
          <w:rFonts w:hint="eastAsia" w:ascii="宋体" w:hAnsi="宋体"/>
          <w:b/>
          <w:bCs/>
          <w:sz w:val="52"/>
          <w:szCs w:val="52"/>
        </w:rPr>
      </w:pPr>
    </w:p>
    <w:p w14:paraId="61EA25CB">
      <w:pPr>
        <w:spacing w:line="360" w:lineRule="auto"/>
        <w:jc w:val="center"/>
        <w:rPr>
          <w:rFonts w:hint="eastAsia" w:ascii="宋体" w:hAnsi="宋体"/>
          <w:b/>
          <w:bCs/>
          <w:sz w:val="52"/>
          <w:szCs w:val="52"/>
        </w:rPr>
      </w:pPr>
    </w:p>
    <w:p w14:paraId="6EB8D454">
      <w:pPr>
        <w:spacing w:line="360" w:lineRule="auto"/>
        <w:jc w:val="center"/>
        <w:rPr>
          <w:rFonts w:hint="eastAsia" w:ascii="宋体" w:hAnsi="宋体"/>
          <w:b/>
          <w:bCs/>
          <w:sz w:val="52"/>
          <w:szCs w:val="52"/>
        </w:rPr>
      </w:pPr>
    </w:p>
    <w:p w14:paraId="43B696D2">
      <w:pPr>
        <w:spacing w:line="360" w:lineRule="auto"/>
        <w:jc w:val="center"/>
        <w:rPr>
          <w:rFonts w:hint="eastAsia" w:ascii="宋体" w:hAnsi="宋体"/>
          <w:b/>
          <w:bCs/>
          <w:sz w:val="52"/>
          <w:szCs w:val="52"/>
        </w:rPr>
      </w:pPr>
    </w:p>
    <w:p w14:paraId="4EC4DD51">
      <w:pPr>
        <w:spacing w:line="360" w:lineRule="auto"/>
        <w:ind w:left="5114" w:leftChars="1064" w:hanging="2880" w:hangingChars="900"/>
        <w:jc w:val="left"/>
        <w:rPr>
          <w:rFonts w:hint="eastAsia" w:ascii="宋体" w:hAnsi="宋体"/>
          <w:sz w:val="32"/>
          <w:szCs w:val="32"/>
        </w:rPr>
      </w:pPr>
      <w:r>
        <w:rPr>
          <w:rFonts w:hint="eastAsia" w:ascii="宋体" w:hAnsi="宋体"/>
          <w:sz w:val="32"/>
          <w:szCs w:val="32"/>
        </w:rPr>
        <w:t>单位名称：内蒙古自治区特种设备检验研究院</w:t>
      </w:r>
    </w:p>
    <w:p w14:paraId="716B3CE5">
      <w:pPr>
        <w:spacing w:line="360" w:lineRule="auto"/>
        <w:ind w:left="5110" w:leftChars="1824" w:hanging="1280" w:hangingChars="400"/>
        <w:jc w:val="left"/>
        <w:rPr>
          <w:rFonts w:hint="eastAsia" w:ascii="宋体" w:hAnsi="宋体"/>
          <w:sz w:val="32"/>
          <w:szCs w:val="32"/>
        </w:rPr>
      </w:pPr>
      <w:r>
        <w:rPr>
          <w:rFonts w:hint="eastAsia" w:ascii="宋体" w:hAnsi="宋体"/>
          <w:sz w:val="32"/>
          <w:szCs w:val="32"/>
        </w:rPr>
        <w:t>巴彦淖尔分院</w:t>
      </w:r>
    </w:p>
    <w:p w14:paraId="3A0C208B">
      <w:pPr>
        <w:spacing w:line="360" w:lineRule="auto"/>
        <w:ind w:firstLine="2240" w:firstLineChars="700"/>
        <w:jc w:val="left"/>
        <w:rPr>
          <w:rFonts w:hint="eastAsia" w:ascii="宋体" w:hAnsi="宋体"/>
          <w:sz w:val="32"/>
          <w:szCs w:val="32"/>
        </w:rPr>
      </w:pPr>
      <w:r>
        <w:rPr>
          <w:rFonts w:hint="eastAsia" w:ascii="宋体" w:hAnsi="宋体"/>
          <w:sz w:val="32"/>
          <w:szCs w:val="32"/>
        </w:rPr>
        <w:t>单位负责人：郭子祥</w:t>
      </w:r>
    </w:p>
    <w:p w14:paraId="7E493801">
      <w:pPr>
        <w:spacing w:line="360" w:lineRule="auto"/>
        <w:ind w:firstLine="2240" w:firstLineChars="700"/>
        <w:jc w:val="left"/>
        <w:rPr>
          <w:rFonts w:hint="eastAsia" w:ascii="宋体" w:hAnsi="宋体"/>
          <w:sz w:val="32"/>
          <w:szCs w:val="32"/>
        </w:rPr>
      </w:pPr>
      <w:r>
        <w:rPr>
          <w:rFonts w:hint="eastAsia" w:ascii="宋体" w:hAnsi="宋体"/>
          <w:sz w:val="32"/>
          <w:szCs w:val="32"/>
        </w:rPr>
        <w:t>财务负责人：高荣</w:t>
      </w:r>
    </w:p>
    <w:p w14:paraId="59F67174">
      <w:pPr>
        <w:spacing w:line="360" w:lineRule="auto"/>
        <w:ind w:firstLine="2240" w:firstLineChars="700"/>
        <w:jc w:val="left"/>
        <w:rPr>
          <w:rFonts w:hint="eastAsia" w:ascii="宋体" w:hAnsi="宋体"/>
          <w:sz w:val="32"/>
          <w:szCs w:val="32"/>
        </w:rPr>
      </w:pPr>
      <w:r>
        <w:rPr>
          <w:rFonts w:hint="eastAsia" w:ascii="宋体" w:hAnsi="宋体"/>
          <w:sz w:val="32"/>
          <w:szCs w:val="32"/>
        </w:rPr>
        <w:t>编制人：张书悦</w:t>
      </w:r>
    </w:p>
    <w:p w14:paraId="5E6B48FA">
      <w:pPr>
        <w:spacing w:line="360" w:lineRule="auto"/>
        <w:ind w:firstLine="2240" w:firstLineChars="700"/>
        <w:jc w:val="left"/>
        <w:rPr>
          <w:rFonts w:hint="eastAsia" w:ascii="宋体" w:hAnsi="宋体"/>
          <w:sz w:val="32"/>
          <w:szCs w:val="32"/>
        </w:rPr>
      </w:pPr>
      <w:r>
        <w:rPr>
          <w:rFonts w:hint="eastAsia" w:ascii="宋体" w:hAnsi="宋体"/>
          <w:sz w:val="32"/>
          <w:szCs w:val="32"/>
        </w:rPr>
        <w:t>报送日期：</w:t>
      </w:r>
      <w:r>
        <w:rPr>
          <w:rFonts w:ascii="宋体" w:hAnsi="宋体"/>
          <w:sz w:val="32"/>
          <w:szCs w:val="32"/>
        </w:rPr>
        <w:t>2024</w:t>
      </w:r>
      <w:r>
        <w:rPr>
          <w:rFonts w:hint="eastAsia" w:ascii="宋体" w:hAnsi="宋体"/>
          <w:sz w:val="32"/>
          <w:szCs w:val="32"/>
        </w:rPr>
        <w:t>年7月</w:t>
      </w:r>
    </w:p>
    <w:p w14:paraId="0E43B7A8">
      <w:pPr>
        <w:ind w:firstLine="2249" w:firstLineChars="700"/>
        <w:rPr>
          <w:rFonts w:hint="eastAsia" w:ascii="仿宋" w:hAnsi="仿宋" w:eastAsia="仿宋"/>
          <w:b/>
          <w:sz w:val="32"/>
          <w:szCs w:val="32"/>
        </w:rPr>
        <w:sectPr>
          <w:footerReference r:id="rId3" w:type="default"/>
          <w:pgSz w:w="11906" w:h="16838"/>
          <w:pgMar w:top="1440" w:right="1083" w:bottom="1440" w:left="1083" w:header="0" w:footer="720" w:gutter="0"/>
          <w:cols w:space="425" w:num="1"/>
          <w:docGrid w:type="lines" w:linePitch="312" w:charSpace="0"/>
        </w:sectPr>
      </w:pPr>
    </w:p>
    <w:p w14:paraId="073728F4">
      <w:pPr>
        <w:widowControl/>
        <w:spacing w:after="240"/>
        <w:jc w:val="center"/>
        <w:rPr>
          <w:rFonts w:eastAsia="Times New Roman"/>
          <w:kern w:val="0"/>
          <w:sz w:val="24"/>
        </w:rPr>
      </w:pPr>
      <w:bookmarkStart w:id="0" w:name="a000"/>
      <w:r>
        <w:rPr>
          <w:rFonts w:ascii="fang_song_gb2312" w:hAnsi="fang_song_gb2312" w:eastAsia="fang_song_gb2312" w:cs="fang_song_gb2312"/>
          <w:b/>
          <w:bCs/>
          <w:kern w:val="0"/>
          <w:sz w:val="54"/>
          <w:szCs w:val="54"/>
        </w:rPr>
        <w:t>目 录</w:t>
      </w:r>
    </w:p>
    <w:p w14:paraId="6A2AC080">
      <w:pPr>
        <w:widowControl/>
        <w:spacing w:before="240" w:after="240"/>
        <w:jc w:val="left"/>
        <w:rPr>
          <w:rFonts w:eastAsia="Times New Roman"/>
          <w:kern w:val="0"/>
          <w:sz w:val="24"/>
        </w:rPr>
      </w:pPr>
      <w:r>
        <w:rPr>
          <w:rFonts w:ascii="黑体" w:hAnsi="黑体" w:eastAsia="黑体" w:cs="黑体"/>
          <w:kern w:val="0"/>
          <w:sz w:val="27"/>
          <w:szCs w:val="27"/>
        </w:rPr>
        <w:t>第一部分 单位概况</w:t>
      </w:r>
    </w:p>
    <w:p w14:paraId="0527E09F">
      <w:pPr>
        <w:widowControl/>
        <w:spacing w:before="240" w:after="240"/>
        <w:jc w:val="left"/>
        <w:rPr>
          <w:rFonts w:hint="eastAsia" w:ascii="宋体" w:hAnsi="宋体" w:cs="宋体"/>
          <w:kern w:val="0"/>
          <w:sz w:val="24"/>
        </w:rPr>
      </w:pPr>
      <w:r>
        <w:rPr>
          <w:rFonts w:hint="eastAsia" w:ascii="宋体" w:hAnsi="宋体" w:cs="宋体"/>
          <w:kern w:val="0"/>
          <w:sz w:val="27"/>
          <w:szCs w:val="27"/>
        </w:rPr>
        <w:t>一、主要职能、职责</w:t>
      </w:r>
    </w:p>
    <w:p w14:paraId="65E0D960">
      <w:pPr>
        <w:widowControl/>
        <w:spacing w:before="240" w:after="240"/>
        <w:jc w:val="left"/>
        <w:rPr>
          <w:rFonts w:hint="eastAsia" w:ascii="宋体" w:hAnsi="宋体" w:cs="宋体"/>
          <w:kern w:val="0"/>
          <w:sz w:val="24"/>
        </w:rPr>
      </w:pPr>
      <w:r>
        <w:rPr>
          <w:rFonts w:hint="eastAsia" w:ascii="宋体" w:hAnsi="宋体" w:cs="宋体"/>
          <w:kern w:val="0"/>
          <w:sz w:val="27"/>
          <w:szCs w:val="27"/>
        </w:rPr>
        <w:t>二、单位机构设置及决算单位构成情况</w:t>
      </w:r>
    </w:p>
    <w:p w14:paraId="7E0018C1">
      <w:pPr>
        <w:widowControl/>
        <w:spacing w:before="240" w:after="240"/>
        <w:jc w:val="left"/>
        <w:rPr>
          <w:rFonts w:hint="eastAsia" w:ascii="宋体" w:hAnsi="宋体" w:cs="宋体"/>
          <w:kern w:val="0"/>
          <w:sz w:val="24"/>
        </w:rPr>
      </w:pPr>
      <w:r>
        <w:rPr>
          <w:rFonts w:hint="eastAsia" w:ascii="宋体" w:hAnsi="宋体" w:cs="宋体"/>
          <w:kern w:val="0"/>
          <w:sz w:val="27"/>
          <w:szCs w:val="27"/>
        </w:rPr>
        <w:t>三、2023年度单位主要工作完成情况</w:t>
      </w:r>
    </w:p>
    <w:p w14:paraId="64C29EFE">
      <w:pPr>
        <w:widowControl/>
        <w:spacing w:before="240" w:after="240"/>
        <w:jc w:val="left"/>
        <w:rPr>
          <w:rFonts w:eastAsia="Times New Roman"/>
          <w:kern w:val="0"/>
          <w:sz w:val="24"/>
        </w:rPr>
      </w:pPr>
      <w:r>
        <w:rPr>
          <w:rFonts w:ascii="黑体" w:hAnsi="黑体" w:eastAsia="黑体" w:cs="黑体"/>
          <w:kern w:val="0"/>
          <w:sz w:val="27"/>
          <w:szCs w:val="27"/>
        </w:rPr>
        <w:t>第二部分 单位决算情况说明</w:t>
      </w:r>
    </w:p>
    <w:p w14:paraId="195A7248">
      <w:pPr>
        <w:widowControl/>
        <w:spacing w:before="240" w:after="240"/>
        <w:jc w:val="left"/>
        <w:rPr>
          <w:rFonts w:hint="eastAsia" w:ascii="宋体" w:hAnsi="宋体" w:cs="宋体"/>
          <w:kern w:val="0"/>
          <w:sz w:val="24"/>
        </w:rPr>
      </w:pPr>
      <w:r>
        <w:rPr>
          <w:rFonts w:hint="eastAsia" w:ascii="宋体" w:hAnsi="宋体" w:cs="宋体"/>
          <w:kern w:val="0"/>
          <w:sz w:val="27"/>
          <w:szCs w:val="27"/>
        </w:rPr>
        <w:t>一、收入支出决算总体情况说明</w:t>
      </w:r>
    </w:p>
    <w:p w14:paraId="3DDEFF3C">
      <w:pPr>
        <w:widowControl/>
        <w:spacing w:before="240" w:after="240"/>
        <w:jc w:val="left"/>
        <w:rPr>
          <w:rFonts w:hint="eastAsia" w:ascii="宋体" w:hAnsi="宋体" w:cs="宋体"/>
          <w:kern w:val="0"/>
          <w:sz w:val="24"/>
        </w:rPr>
      </w:pPr>
      <w:r>
        <w:rPr>
          <w:rFonts w:hint="eastAsia" w:ascii="宋体" w:hAnsi="宋体" w:cs="宋体"/>
          <w:kern w:val="0"/>
          <w:sz w:val="27"/>
          <w:szCs w:val="27"/>
        </w:rPr>
        <w:t>二、收入决算情况说明</w:t>
      </w:r>
    </w:p>
    <w:p w14:paraId="2EF27ACA">
      <w:pPr>
        <w:widowControl/>
        <w:spacing w:before="240" w:after="240"/>
        <w:jc w:val="left"/>
        <w:rPr>
          <w:rFonts w:hint="eastAsia" w:ascii="宋体" w:hAnsi="宋体" w:cs="宋体"/>
          <w:kern w:val="0"/>
          <w:sz w:val="24"/>
        </w:rPr>
      </w:pPr>
      <w:r>
        <w:rPr>
          <w:rFonts w:hint="eastAsia" w:ascii="宋体" w:hAnsi="宋体" w:cs="宋体"/>
          <w:kern w:val="0"/>
          <w:sz w:val="27"/>
          <w:szCs w:val="27"/>
        </w:rPr>
        <w:t>三、支出决算情况说明</w:t>
      </w:r>
    </w:p>
    <w:p w14:paraId="275D50A1">
      <w:pPr>
        <w:widowControl/>
        <w:spacing w:before="240" w:after="240"/>
        <w:jc w:val="left"/>
        <w:rPr>
          <w:rFonts w:hint="eastAsia" w:ascii="宋体" w:hAnsi="宋体" w:cs="宋体"/>
          <w:kern w:val="0"/>
          <w:sz w:val="24"/>
        </w:rPr>
      </w:pPr>
      <w:r>
        <w:rPr>
          <w:rFonts w:hint="eastAsia" w:ascii="宋体" w:hAnsi="宋体" w:cs="宋体"/>
          <w:kern w:val="0"/>
          <w:sz w:val="27"/>
          <w:szCs w:val="27"/>
        </w:rPr>
        <w:t>四、财政拨款收入支出决算总体情况说明</w:t>
      </w:r>
    </w:p>
    <w:p w14:paraId="41EB01A3">
      <w:pPr>
        <w:widowControl/>
        <w:spacing w:before="240" w:after="240"/>
        <w:jc w:val="left"/>
        <w:rPr>
          <w:rFonts w:hint="eastAsia" w:ascii="宋体" w:hAnsi="宋体" w:cs="宋体"/>
          <w:kern w:val="0"/>
          <w:sz w:val="24"/>
        </w:rPr>
      </w:pPr>
      <w:r>
        <w:rPr>
          <w:rFonts w:hint="eastAsia" w:ascii="宋体" w:hAnsi="宋体" w:cs="宋体"/>
          <w:kern w:val="0"/>
          <w:sz w:val="27"/>
          <w:szCs w:val="27"/>
        </w:rPr>
        <w:t>五、一般公共预算财政拨款支出决算情况说明</w:t>
      </w:r>
    </w:p>
    <w:p w14:paraId="6FAA9930">
      <w:pPr>
        <w:widowControl/>
        <w:spacing w:before="240" w:after="240"/>
        <w:jc w:val="left"/>
        <w:rPr>
          <w:rFonts w:hint="eastAsia" w:ascii="宋体" w:hAnsi="宋体" w:cs="宋体"/>
          <w:kern w:val="0"/>
          <w:sz w:val="24"/>
        </w:rPr>
      </w:pPr>
      <w:r>
        <w:rPr>
          <w:rFonts w:hint="eastAsia" w:ascii="宋体" w:hAnsi="宋体" w:cs="宋体"/>
          <w:kern w:val="0"/>
          <w:sz w:val="27"/>
          <w:szCs w:val="27"/>
        </w:rPr>
        <w:t>六、一般公共预算财政拨款基本支出决算情况说明</w:t>
      </w:r>
    </w:p>
    <w:p w14:paraId="7EC3B182">
      <w:pPr>
        <w:widowControl/>
        <w:spacing w:before="240" w:after="240"/>
        <w:jc w:val="left"/>
        <w:rPr>
          <w:rFonts w:hint="eastAsia" w:ascii="宋体" w:hAnsi="宋体" w:cs="宋体"/>
          <w:kern w:val="0"/>
          <w:sz w:val="24"/>
        </w:rPr>
      </w:pPr>
      <w:r>
        <w:rPr>
          <w:rFonts w:hint="eastAsia" w:ascii="宋体" w:hAnsi="宋体" w:cs="宋体"/>
          <w:kern w:val="0"/>
          <w:sz w:val="27"/>
          <w:szCs w:val="27"/>
        </w:rPr>
        <w:t>七、一般公共预算财政拨款项目支出决算情况说明</w:t>
      </w:r>
    </w:p>
    <w:p w14:paraId="347DB7CC">
      <w:pPr>
        <w:widowControl/>
        <w:spacing w:before="240" w:after="240"/>
        <w:jc w:val="left"/>
        <w:rPr>
          <w:rFonts w:hint="eastAsia" w:ascii="宋体" w:hAnsi="宋体" w:cs="宋体"/>
          <w:kern w:val="0"/>
          <w:sz w:val="24"/>
        </w:rPr>
      </w:pPr>
      <w:r>
        <w:rPr>
          <w:rFonts w:hint="eastAsia" w:ascii="宋体" w:hAnsi="宋体" w:cs="宋体"/>
          <w:kern w:val="0"/>
          <w:sz w:val="27"/>
          <w:szCs w:val="27"/>
        </w:rPr>
        <w:t>八、财政拨款“三公”经费支出决算情况说明</w:t>
      </w:r>
    </w:p>
    <w:p w14:paraId="5600D26B">
      <w:pPr>
        <w:widowControl/>
        <w:spacing w:before="240" w:after="240"/>
        <w:jc w:val="left"/>
        <w:rPr>
          <w:rFonts w:hint="eastAsia" w:ascii="宋体" w:hAnsi="宋体" w:cs="宋体"/>
          <w:kern w:val="0"/>
          <w:sz w:val="24"/>
        </w:rPr>
      </w:pPr>
      <w:r>
        <w:rPr>
          <w:rFonts w:hint="eastAsia" w:ascii="宋体" w:hAnsi="宋体" w:cs="宋体"/>
          <w:kern w:val="0"/>
          <w:sz w:val="27"/>
          <w:szCs w:val="27"/>
        </w:rPr>
        <w:t>九、政府性基金预算财政拨款支出决算情况说明</w:t>
      </w:r>
    </w:p>
    <w:p w14:paraId="78952D62">
      <w:pPr>
        <w:widowControl/>
        <w:spacing w:before="240" w:after="240"/>
        <w:jc w:val="left"/>
        <w:rPr>
          <w:rFonts w:hint="eastAsia" w:ascii="宋体" w:hAnsi="宋体" w:cs="宋体"/>
          <w:kern w:val="0"/>
          <w:sz w:val="24"/>
        </w:rPr>
      </w:pPr>
      <w:r>
        <w:rPr>
          <w:rFonts w:hint="eastAsia" w:ascii="宋体" w:hAnsi="宋体" w:cs="宋体"/>
          <w:kern w:val="0"/>
          <w:sz w:val="27"/>
          <w:szCs w:val="27"/>
        </w:rPr>
        <w:t>十、国有资本经营预算财政拨款支出决算情况说明</w:t>
      </w:r>
    </w:p>
    <w:p w14:paraId="0DFAF2A1">
      <w:pPr>
        <w:widowControl/>
        <w:spacing w:before="240" w:after="240"/>
        <w:jc w:val="left"/>
        <w:rPr>
          <w:rFonts w:hint="eastAsia" w:ascii="宋体" w:hAnsi="宋体" w:cs="宋体"/>
          <w:kern w:val="0"/>
          <w:sz w:val="24"/>
        </w:rPr>
      </w:pPr>
      <w:r>
        <w:rPr>
          <w:rFonts w:hint="eastAsia" w:ascii="宋体" w:hAnsi="宋体" w:cs="宋体"/>
          <w:kern w:val="0"/>
          <w:sz w:val="27"/>
          <w:szCs w:val="27"/>
        </w:rPr>
        <w:t>十一、机构运行经费支出决算情况说明</w:t>
      </w:r>
    </w:p>
    <w:p w14:paraId="6F3ABEDC">
      <w:pPr>
        <w:widowControl/>
        <w:spacing w:before="240" w:after="240"/>
        <w:jc w:val="left"/>
        <w:rPr>
          <w:rFonts w:hint="eastAsia" w:ascii="宋体" w:hAnsi="宋体" w:cs="宋体"/>
          <w:kern w:val="0"/>
          <w:sz w:val="24"/>
        </w:rPr>
      </w:pPr>
      <w:r>
        <w:rPr>
          <w:rFonts w:hint="eastAsia" w:ascii="宋体" w:hAnsi="宋体" w:cs="宋体"/>
          <w:kern w:val="0"/>
          <w:sz w:val="27"/>
          <w:szCs w:val="27"/>
        </w:rPr>
        <w:t>十二、政府采购支出决算情况说明</w:t>
      </w:r>
    </w:p>
    <w:p w14:paraId="3BB8FCDA">
      <w:pPr>
        <w:widowControl/>
        <w:spacing w:before="240" w:after="240"/>
        <w:jc w:val="left"/>
        <w:rPr>
          <w:rFonts w:hint="eastAsia" w:ascii="宋体" w:hAnsi="宋体" w:cs="宋体"/>
          <w:kern w:val="0"/>
          <w:sz w:val="24"/>
        </w:rPr>
      </w:pPr>
      <w:r>
        <w:rPr>
          <w:rFonts w:hint="eastAsia" w:ascii="宋体" w:hAnsi="宋体" w:cs="宋体"/>
          <w:kern w:val="0"/>
          <w:sz w:val="27"/>
          <w:szCs w:val="27"/>
        </w:rPr>
        <w:t>十三、国有资产占用情况说明</w:t>
      </w:r>
    </w:p>
    <w:p w14:paraId="42C905A5">
      <w:pPr>
        <w:widowControl/>
        <w:spacing w:before="240" w:after="240"/>
        <w:jc w:val="left"/>
        <w:rPr>
          <w:rFonts w:hint="eastAsia" w:ascii="宋体" w:hAnsi="宋体" w:cs="宋体"/>
          <w:kern w:val="0"/>
          <w:sz w:val="24"/>
        </w:rPr>
      </w:pPr>
      <w:r>
        <w:rPr>
          <w:rFonts w:hint="eastAsia" w:ascii="宋体" w:hAnsi="宋体" w:cs="宋体"/>
          <w:kern w:val="0"/>
          <w:sz w:val="27"/>
          <w:szCs w:val="27"/>
        </w:rPr>
        <w:t>十四、预算绩效情况说明</w:t>
      </w:r>
    </w:p>
    <w:p w14:paraId="34EA6B9A">
      <w:pPr>
        <w:widowControl/>
        <w:spacing w:before="240" w:after="240"/>
        <w:jc w:val="left"/>
        <w:rPr>
          <w:rFonts w:eastAsia="Times New Roman"/>
          <w:kern w:val="0"/>
          <w:sz w:val="24"/>
        </w:rPr>
      </w:pPr>
      <w:r>
        <w:rPr>
          <w:rFonts w:ascii="黑体" w:hAnsi="黑体" w:eastAsia="黑体" w:cs="黑体"/>
          <w:kern w:val="0"/>
          <w:sz w:val="27"/>
          <w:szCs w:val="27"/>
        </w:rPr>
        <w:t>第三部分 名词解释</w:t>
      </w:r>
    </w:p>
    <w:p w14:paraId="202EB290">
      <w:pPr>
        <w:widowControl/>
        <w:spacing w:before="240" w:after="240"/>
        <w:jc w:val="left"/>
        <w:rPr>
          <w:rFonts w:eastAsia="Times New Roman"/>
          <w:kern w:val="0"/>
          <w:sz w:val="24"/>
        </w:rPr>
      </w:pPr>
      <w:r>
        <w:rPr>
          <w:rFonts w:ascii="黑体" w:hAnsi="黑体" w:eastAsia="黑体" w:cs="黑体"/>
          <w:kern w:val="0"/>
          <w:sz w:val="27"/>
          <w:szCs w:val="27"/>
        </w:rPr>
        <w:t>第四部分 决算公开联系方式及信息反馈渠道</w:t>
      </w:r>
    </w:p>
    <w:p w14:paraId="3A84F9F5">
      <w:pPr>
        <w:widowControl/>
        <w:spacing w:before="240" w:after="240"/>
        <w:jc w:val="left"/>
        <w:rPr>
          <w:rFonts w:eastAsia="Times New Roman"/>
          <w:kern w:val="0"/>
          <w:sz w:val="24"/>
        </w:rPr>
      </w:pPr>
      <w:r>
        <w:rPr>
          <w:rFonts w:ascii="黑体" w:hAnsi="黑体" w:eastAsia="黑体" w:cs="黑体"/>
          <w:kern w:val="0"/>
          <w:sz w:val="27"/>
          <w:szCs w:val="27"/>
        </w:rPr>
        <w:t>第五部分 单位决算表</w:t>
      </w:r>
    </w:p>
    <w:p w14:paraId="1A75F5F6">
      <w:pPr>
        <w:widowControl/>
        <w:spacing w:before="240" w:after="240"/>
        <w:jc w:val="left"/>
        <w:rPr>
          <w:rFonts w:hint="eastAsia" w:ascii="宋体" w:hAnsi="宋体" w:cs="宋体"/>
          <w:kern w:val="0"/>
          <w:sz w:val="24"/>
        </w:rPr>
      </w:pPr>
      <w:r>
        <w:rPr>
          <w:rFonts w:hint="eastAsia" w:ascii="宋体" w:hAnsi="宋体" w:cs="宋体"/>
          <w:kern w:val="0"/>
          <w:sz w:val="27"/>
          <w:szCs w:val="27"/>
        </w:rPr>
        <w:t>一、收入支出决算总表</w:t>
      </w:r>
    </w:p>
    <w:p w14:paraId="3A699C8F">
      <w:pPr>
        <w:widowControl/>
        <w:spacing w:before="240" w:after="240"/>
        <w:jc w:val="left"/>
        <w:rPr>
          <w:rFonts w:hint="eastAsia" w:ascii="宋体" w:hAnsi="宋体" w:cs="宋体"/>
          <w:kern w:val="0"/>
          <w:sz w:val="24"/>
        </w:rPr>
      </w:pPr>
      <w:r>
        <w:rPr>
          <w:rFonts w:hint="eastAsia" w:ascii="宋体" w:hAnsi="宋体" w:cs="宋体"/>
          <w:kern w:val="0"/>
          <w:sz w:val="27"/>
          <w:szCs w:val="27"/>
        </w:rPr>
        <w:t>二、收入决算表</w:t>
      </w:r>
    </w:p>
    <w:p w14:paraId="00A7EAA7">
      <w:pPr>
        <w:widowControl/>
        <w:spacing w:before="240" w:after="240"/>
        <w:jc w:val="left"/>
        <w:rPr>
          <w:rFonts w:hint="eastAsia" w:ascii="宋体" w:hAnsi="宋体" w:cs="宋体"/>
          <w:kern w:val="0"/>
          <w:sz w:val="24"/>
        </w:rPr>
      </w:pPr>
      <w:r>
        <w:rPr>
          <w:rFonts w:hint="eastAsia" w:ascii="宋体" w:hAnsi="宋体" w:cs="宋体"/>
          <w:kern w:val="0"/>
          <w:sz w:val="27"/>
          <w:szCs w:val="27"/>
        </w:rPr>
        <w:t>三、支出决算表</w:t>
      </w:r>
    </w:p>
    <w:p w14:paraId="44E1ADD5">
      <w:pPr>
        <w:widowControl/>
        <w:spacing w:before="240" w:after="240"/>
        <w:jc w:val="left"/>
        <w:rPr>
          <w:rFonts w:hint="eastAsia" w:ascii="宋体" w:hAnsi="宋体" w:cs="宋体"/>
          <w:kern w:val="0"/>
          <w:sz w:val="24"/>
        </w:rPr>
      </w:pPr>
      <w:r>
        <w:rPr>
          <w:rFonts w:hint="eastAsia" w:ascii="宋体" w:hAnsi="宋体" w:cs="宋体"/>
          <w:kern w:val="0"/>
          <w:sz w:val="27"/>
          <w:szCs w:val="27"/>
        </w:rPr>
        <w:t>四、财政拨款收入支出决算总表</w:t>
      </w:r>
    </w:p>
    <w:p w14:paraId="20D6A1D1">
      <w:pPr>
        <w:widowControl/>
        <w:spacing w:before="240" w:after="240"/>
        <w:jc w:val="left"/>
        <w:rPr>
          <w:rFonts w:hint="eastAsia" w:ascii="宋体" w:hAnsi="宋体" w:cs="宋体"/>
          <w:kern w:val="0"/>
          <w:sz w:val="24"/>
        </w:rPr>
      </w:pPr>
      <w:r>
        <w:rPr>
          <w:rFonts w:hint="eastAsia" w:ascii="宋体" w:hAnsi="宋体" w:cs="宋体"/>
          <w:kern w:val="0"/>
          <w:sz w:val="27"/>
          <w:szCs w:val="27"/>
        </w:rPr>
        <w:t>五、一般公共预算财政拨款支出决算表</w:t>
      </w:r>
    </w:p>
    <w:p w14:paraId="650AA145">
      <w:pPr>
        <w:widowControl/>
        <w:spacing w:before="240" w:after="240"/>
        <w:jc w:val="left"/>
        <w:rPr>
          <w:rFonts w:hint="eastAsia" w:ascii="宋体" w:hAnsi="宋体" w:cs="宋体"/>
          <w:kern w:val="0"/>
          <w:sz w:val="24"/>
        </w:rPr>
      </w:pPr>
      <w:r>
        <w:rPr>
          <w:rFonts w:hint="eastAsia" w:ascii="宋体" w:hAnsi="宋体" w:cs="宋体"/>
          <w:kern w:val="0"/>
          <w:sz w:val="27"/>
          <w:szCs w:val="27"/>
        </w:rPr>
        <w:t>六、一般公共预算财政拨款基本支出决算明细表</w:t>
      </w:r>
    </w:p>
    <w:p w14:paraId="63D9C5CE">
      <w:pPr>
        <w:widowControl/>
        <w:spacing w:before="240" w:after="240"/>
        <w:jc w:val="left"/>
        <w:rPr>
          <w:rFonts w:hint="eastAsia" w:ascii="宋体" w:hAnsi="宋体" w:cs="宋体"/>
          <w:kern w:val="0"/>
          <w:sz w:val="24"/>
        </w:rPr>
      </w:pPr>
      <w:r>
        <w:rPr>
          <w:rFonts w:hint="eastAsia" w:ascii="宋体" w:hAnsi="宋体" w:cs="宋体"/>
          <w:kern w:val="0"/>
          <w:sz w:val="27"/>
          <w:szCs w:val="27"/>
        </w:rPr>
        <w:t>七、一般公共预算财政拨款项目支出决算明细表</w:t>
      </w:r>
    </w:p>
    <w:p w14:paraId="348665B3">
      <w:pPr>
        <w:widowControl/>
        <w:spacing w:before="240" w:after="240"/>
        <w:jc w:val="left"/>
        <w:rPr>
          <w:rFonts w:hint="eastAsia" w:ascii="宋体" w:hAnsi="宋体" w:cs="宋体"/>
          <w:kern w:val="0"/>
          <w:sz w:val="24"/>
        </w:rPr>
      </w:pPr>
      <w:r>
        <w:rPr>
          <w:rFonts w:hint="eastAsia" w:ascii="宋体" w:hAnsi="宋体" w:cs="宋体"/>
          <w:kern w:val="0"/>
          <w:sz w:val="27"/>
          <w:szCs w:val="27"/>
        </w:rPr>
        <w:t>八、政府性基金预算财政拨款收入支出决算表</w:t>
      </w:r>
    </w:p>
    <w:p w14:paraId="22F85327">
      <w:pPr>
        <w:widowControl/>
        <w:spacing w:before="240" w:after="240"/>
        <w:jc w:val="left"/>
        <w:rPr>
          <w:rFonts w:hint="eastAsia" w:ascii="宋体" w:hAnsi="宋体" w:cs="宋体"/>
          <w:kern w:val="0"/>
          <w:sz w:val="24"/>
        </w:rPr>
      </w:pPr>
      <w:r>
        <w:rPr>
          <w:rFonts w:hint="eastAsia" w:ascii="宋体" w:hAnsi="宋体" w:cs="宋体"/>
          <w:kern w:val="0"/>
          <w:sz w:val="27"/>
          <w:szCs w:val="27"/>
        </w:rPr>
        <w:t>九、国有资本经营预算财政拨款支出决算表</w:t>
      </w:r>
    </w:p>
    <w:p w14:paraId="2B9AD1D1">
      <w:pPr>
        <w:widowControl/>
        <w:spacing w:before="240" w:after="240"/>
        <w:jc w:val="left"/>
        <w:rPr>
          <w:rFonts w:hint="eastAsia" w:ascii="宋体" w:hAnsi="宋体" w:cs="宋体"/>
          <w:kern w:val="0"/>
          <w:sz w:val="24"/>
        </w:rPr>
      </w:pPr>
      <w:r>
        <w:rPr>
          <w:rFonts w:hint="eastAsia" w:ascii="宋体" w:hAnsi="宋体" w:cs="宋体"/>
          <w:kern w:val="0"/>
          <w:sz w:val="27"/>
          <w:szCs w:val="27"/>
        </w:rPr>
        <w:t>十、财政拨款“三公”经费支出决算表</w:t>
      </w:r>
    </w:p>
    <w:p w14:paraId="6D6FFFD0">
      <w:pPr>
        <w:widowControl/>
        <w:spacing w:before="240" w:after="240"/>
        <w:jc w:val="left"/>
        <w:rPr>
          <w:rFonts w:hint="eastAsia" w:ascii="宋体" w:hAnsi="宋体" w:cs="宋体"/>
          <w:kern w:val="0"/>
          <w:sz w:val="24"/>
        </w:rPr>
      </w:pPr>
      <w:r>
        <w:rPr>
          <w:rFonts w:hint="eastAsia" w:ascii="宋体" w:hAnsi="宋体" w:cs="宋体"/>
          <w:kern w:val="0"/>
          <w:sz w:val="27"/>
          <w:szCs w:val="27"/>
        </w:rPr>
        <w:t>十一、机构运行经费支出、国有资产占用情况及政府采购支出信息表</w:t>
      </w:r>
    </w:p>
    <w:p w14:paraId="7CB5B3F0">
      <w:pPr>
        <w:widowControl/>
        <w:spacing w:before="240" w:after="240"/>
        <w:rPr>
          <w:rFonts w:eastAsia="Times New Roman"/>
          <w:kern w:val="0"/>
          <w:sz w:val="24"/>
        </w:rPr>
      </w:pPr>
    </w:p>
    <w:p w14:paraId="61C4F53F">
      <w:pPr>
        <w:widowControl/>
        <w:spacing w:before="240" w:after="240"/>
        <w:rPr>
          <w:rFonts w:eastAsia="Times New Roman"/>
          <w:kern w:val="0"/>
          <w:sz w:val="24"/>
        </w:rPr>
      </w:pPr>
    </w:p>
    <w:p w14:paraId="5C0163DA">
      <w:pPr>
        <w:widowControl/>
        <w:spacing w:before="240" w:after="240"/>
        <w:rPr>
          <w:rFonts w:eastAsia="Times New Roman"/>
          <w:kern w:val="0"/>
          <w:sz w:val="24"/>
        </w:rPr>
      </w:pPr>
    </w:p>
    <w:p w14:paraId="3C60869A">
      <w:pPr>
        <w:widowControl/>
        <w:spacing w:before="240" w:after="240"/>
        <w:rPr>
          <w:rFonts w:eastAsia="Times New Roman"/>
          <w:kern w:val="0"/>
          <w:sz w:val="24"/>
        </w:rPr>
      </w:pPr>
    </w:p>
    <w:p w14:paraId="5E1884B4">
      <w:pPr>
        <w:widowControl/>
        <w:spacing w:before="240" w:after="240"/>
        <w:rPr>
          <w:rFonts w:eastAsia="Times New Roman"/>
          <w:kern w:val="0"/>
          <w:sz w:val="24"/>
        </w:rPr>
      </w:pPr>
    </w:p>
    <w:p w14:paraId="6DA7E785">
      <w:pPr>
        <w:widowControl/>
        <w:spacing w:before="240" w:after="240"/>
        <w:rPr>
          <w:rFonts w:eastAsia="Times New Roman"/>
          <w:kern w:val="0"/>
          <w:sz w:val="24"/>
        </w:rPr>
      </w:pPr>
    </w:p>
    <w:p w14:paraId="5D69DC5D">
      <w:pPr>
        <w:widowControl/>
        <w:spacing w:before="240" w:after="240"/>
        <w:rPr>
          <w:rFonts w:eastAsia="Times New Roman"/>
          <w:kern w:val="0"/>
          <w:sz w:val="24"/>
        </w:rPr>
      </w:pPr>
    </w:p>
    <w:p w14:paraId="4137D026">
      <w:pPr>
        <w:widowControl/>
        <w:spacing w:before="240" w:after="240"/>
        <w:rPr>
          <w:rFonts w:eastAsia="Times New Roman"/>
          <w:kern w:val="0"/>
          <w:sz w:val="24"/>
        </w:rPr>
      </w:pPr>
    </w:p>
    <w:p w14:paraId="15391F05">
      <w:pPr>
        <w:widowControl/>
        <w:spacing w:before="240" w:after="240"/>
        <w:rPr>
          <w:rFonts w:eastAsia="Times New Roman"/>
          <w:kern w:val="0"/>
          <w:sz w:val="24"/>
        </w:rPr>
      </w:pPr>
    </w:p>
    <w:p w14:paraId="4B67B4CB">
      <w:pPr>
        <w:widowControl/>
        <w:spacing w:before="240" w:after="240"/>
        <w:rPr>
          <w:rFonts w:eastAsia="Times New Roman"/>
          <w:kern w:val="0"/>
          <w:sz w:val="24"/>
        </w:rPr>
      </w:pPr>
    </w:p>
    <w:p w14:paraId="648FAF81">
      <w:pPr>
        <w:widowControl/>
        <w:spacing w:before="240" w:after="240"/>
        <w:rPr>
          <w:rFonts w:eastAsia="Times New Roman"/>
          <w:kern w:val="0"/>
          <w:sz w:val="24"/>
        </w:rPr>
      </w:pPr>
    </w:p>
    <w:p w14:paraId="774CC6F2">
      <w:pPr>
        <w:widowControl/>
        <w:spacing w:before="240" w:after="240"/>
        <w:rPr>
          <w:rFonts w:eastAsia="Times New Roman"/>
          <w:kern w:val="0"/>
          <w:sz w:val="24"/>
        </w:rPr>
      </w:pPr>
    </w:p>
    <w:p w14:paraId="57791F02">
      <w:pPr>
        <w:widowControl/>
        <w:spacing w:before="240" w:after="240"/>
        <w:rPr>
          <w:rFonts w:eastAsia="Times New Roman"/>
          <w:kern w:val="0"/>
          <w:sz w:val="24"/>
        </w:rPr>
      </w:pPr>
    </w:p>
    <w:p w14:paraId="5CA77B8C">
      <w:pPr>
        <w:widowControl/>
        <w:spacing w:before="240" w:after="240"/>
        <w:rPr>
          <w:rFonts w:eastAsia="Times New Roman"/>
          <w:kern w:val="0"/>
          <w:sz w:val="24"/>
        </w:rPr>
      </w:pPr>
    </w:p>
    <w:p w14:paraId="203B9250">
      <w:pPr>
        <w:widowControl/>
        <w:spacing w:before="240" w:after="240"/>
        <w:rPr>
          <w:rFonts w:eastAsia="Times New Roman"/>
          <w:kern w:val="0"/>
          <w:sz w:val="24"/>
        </w:rPr>
      </w:pPr>
    </w:p>
    <w:p w14:paraId="2868C27B">
      <w:pPr>
        <w:widowControl/>
        <w:spacing w:before="240" w:after="240"/>
        <w:rPr>
          <w:rFonts w:eastAsia="Times New Roman"/>
          <w:kern w:val="0"/>
          <w:sz w:val="24"/>
        </w:rPr>
      </w:pPr>
    </w:p>
    <w:p w14:paraId="55F9C418">
      <w:pPr>
        <w:widowControl/>
        <w:spacing w:before="240" w:after="240"/>
        <w:rPr>
          <w:rFonts w:eastAsia="Times New Roman"/>
          <w:kern w:val="0"/>
          <w:sz w:val="24"/>
        </w:rPr>
      </w:pPr>
    </w:p>
    <w:p w14:paraId="69E4BDA2">
      <w:pPr>
        <w:widowControl/>
        <w:spacing w:before="240" w:after="240"/>
        <w:rPr>
          <w:rFonts w:eastAsia="Times New Roman"/>
          <w:kern w:val="0"/>
          <w:sz w:val="24"/>
        </w:rPr>
      </w:pPr>
    </w:p>
    <w:p w14:paraId="074BE5CB">
      <w:pPr>
        <w:widowControl/>
        <w:spacing w:before="240" w:after="240"/>
        <w:rPr>
          <w:rFonts w:eastAsia="Times New Roman"/>
          <w:kern w:val="0"/>
          <w:sz w:val="24"/>
        </w:rPr>
      </w:pPr>
    </w:p>
    <w:p w14:paraId="05BB4C7B">
      <w:pPr>
        <w:widowControl/>
        <w:spacing w:before="240" w:after="240"/>
        <w:rPr>
          <w:rFonts w:eastAsia="Times New Roman"/>
          <w:kern w:val="0"/>
          <w:sz w:val="24"/>
        </w:rPr>
      </w:pPr>
    </w:p>
    <w:p w14:paraId="7D71B2D7">
      <w:pPr>
        <w:widowControl/>
        <w:spacing w:before="240" w:after="240"/>
        <w:rPr>
          <w:rFonts w:eastAsia="Times New Roman"/>
          <w:kern w:val="0"/>
          <w:sz w:val="24"/>
        </w:rPr>
      </w:pPr>
    </w:p>
    <w:p w14:paraId="0DE6F019">
      <w:pPr>
        <w:widowControl/>
        <w:spacing w:before="240" w:after="240"/>
        <w:rPr>
          <w:rFonts w:eastAsia="Times New Roman"/>
          <w:kern w:val="0"/>
          <w:sz w:val="24"/>
        </w:rPr>
      </w:pPr>
    </w:p>
    <w:p w14:paraId="6F95AAA6">
      <w:pPr>
        <w:widowControl/>
        <w:spacing w:before="240" w:after="240"/>
        <w:jc w:val="center"/>
        <w:rPr>
          <w:rFonts w:eastAsia="Times New Roman"/>
          <w:kern w:val="0"/>
          <w:sz w:val="24"/>
        </w:rPr>
      </w:pPr>
      <w:r>
        <w:rPr>
          <w:rFonts w:ascii="fang_zheng_xiao_biao_song_ti" w:hAnsi="fang_zheng_xiao_biao_song_ti" w:eastAsia="fang_zheng_xiao_biao_song_ti" w:cs="fang_zheng_xiao_biao_song_ti"/>
          <w:b/>
          <w:bCs/>
          <w:color w:val="000000"/>
          <w:kern w:val="0"/>
          <w:sz w:val="36"/>
          <w:szCs w:val="36"/>
        </w:rPr>
        <w:t>第一部分 单位概况</w:t>
      </w:r>
    </w:p>
    <w:p w14:paraId="5BC08BA7">
      <w:pPr>
        <w:widowControl/>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一、主要职能、职责</w:t>
      </w:r>
    </w:p>
    <w:p w14:paraId="04BA6E7F">
      <w:pPr>
        <w:widowControl/>
        <w:ind w:firstLine="540" w:firstLineChars="200"/>
        <w:rPr>
          <w:rFonts w:eastAsia="Times New Roman"/>
          <w:kern w:val="0"/>
          <w:sz w:val="24"/>
        </w:rPr>
      </w:pPr>
      <w:r>
        <w:rPr>
          <w:rFonts w:hint="eastAsia" w:ascii="宋体" w:hAnsi="宋体" w:cs="宋体"/>
          <w:kern w:val="0"/>
          <w:sz w:val="27"/>
          <w:szCs w:val="27"/>
        </w:rPr>
        <w:t>按照自治区党委、政府《关于深化事业单位改革试点工作实施意见》和自治区编办《关于自治区市场监督管理局所属事业单位机构职能编制的批复》内容，2020年，自治区党委政府将原自治区特种设备检验院、原自治区锅炉压力容器检验研究院和13个原驻盟市特种设备检验机构等15个事业单位整合，组建了内蒙古自治区特种设备检验研究院（正处级），其中内蒙古自治区特种设备检验研究院巴彦淖尔分院为分支机构，接受内蒙古特检院直接管理。</w:t>
      </w:r>
    </w:p>
    <w:p w14:paraId="7F2DB608">
      <w:pPr>
        <w:widowControl/>
        <w:rPr>
          <w:rFonts w:hint="eastAsia" w:ascii="宋体" w:hAnsi="宋体" w:cs="宋体"/>
          <w:kern w:val="0"/>
          <w:sz w:val="27"/>
          <w:szCs w:val="27"/>
        </w:rPr>
      </w:pPr>
      <w:r>
        <w:rPr>
          <w:rFonts w:ascii="fang_song_gb2312" w:hAnsi="fang_song_gb2312" w:eastAsia="fang_song_gb2312" w:cs="fang_song_gb2312"/>
          <w:color w:val="0E00FE"/>
          <w:kern w:val="0"/>
          <w:sz w:val="27"/>
          <w:szCs w:val="27"/>
        </w:rPr>
        <w:t> </w:t>
      </w:r>
      <w:r>
        <w:rPr>
          <w:rFonts w:hint="eastAsia" w:ascii="fang_song_gb2312" w:hAnsi="fang_song_gb2312" w:cs="fang_song_gb2312"/>
          <w:color w:val="0E00FE"/>
          <w:kern w:val="0"/>
          <w:sz w:val="27"/>
          <w:szCs w:val="27"/>
        </w:rPr>
        <w:t xml:space="preserve">   </w:t>
      </w:r>
      <w:r>
        <w:rPr>
          <w:rFonts w:hint="eastAsia" w:ascii="宋体" w:hAnsi="宋体" w:cs="宋体"/>
          <w:kern w:val="0"/>
          <w:sz w:val="27"/>
          <w:szCs w:val="27"/>
        </w:rPr>
        <w:t>截至2023年12月31日，单位性质为公益二类事业单位，主要业务范围是承担本地区锅炉、压力容器（含气瓶）、压力管道、电梯、起重机械、场（厂）内专用机动车辆等各项特种设备检验工作，以及锅炉水（介）质检验和特种设备作业人员考试工作。</w:t>
      </w:r>
    </w:p>
    <w:p w14:paraId="17AD3E14">
      <w:pPr>
        <w:widowControl/>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二、单位机构设置及决算单位构成情况</w:t>
      </w:r>
    </w:p>
    <w:p w14:paraId="6C3351C4">
      <w:pPr>
        <w:autoSpaceDE w:val="0"/>
        <w:autoSpaceDN w:val="0"/>
        <w:spacing w:line="580" w:lineRule="atLeast"/>
        <w:ind w:firstLine="270" w:firstLineChars="100"/>
        <w:rPr>
          <w:rFonts w:hint="eastAsia" w:ascii="宋体" w:hAnsi="宋体" w:cs="宋体"/>
          <w:kern w:val="0"/>
          <w:sz w:val="27"/>
          <w:szCs w:val="27"/>
        </w:rPr>
      </w:pPr>
      <w:r>
        <w:rPr>
          <w:rFonts w:hint="eastAsia" w:ascii="宋体" w:hAnsi="宋体" w:cs="宋体"/>
          <w:kern w:val="0"/>
          <w:sz w:val="27"/>
          <w:szCs w:val="27"/>
        </w:rPr>
        <w:t> 1.根据单位职责分工，本单位内设机构包括7个科室，即：办公室、财务室、业务管理科、气瓶检验室、水质检测室、锅炉压力容器检验室、特种设备检验室。根据事业发展和工作需要，内蒙特检院巴彦淖尔分院将编办核定内设机构进行职责划分，现内设机构14个，分别是：办公室、财务室、业务管理室、气瓶检验室、综合实验室、锅炉室、总工室、安全阀室、压力容器室、压力管道室、起重机械室、考试中心、业务受理室、电梯室。</w:t>
      </w:r>
    </w:p>
    <w:p w14:paraId="07D4B781">
      <w:pPr>
        <w:autoSpaceDE w:val="0"/>
        <w:autoSpaceDN w:val="0"/>
        <w:spacing w:line="580" w:lineRule="atLeast"/>
        <w:ind w:firstLine="600"/>
        <w:rPr>
          <w:rFonts w:hint="eastAsia" w:ascii="宋体" w:hAnsi="宋体" w:cs="宋体"/>
          <w:kern w:val="0"/>
          <w:sz w:val="27"/>
          <w:szCs w:val="27"/>
        </w:rPr>
      </w:pPr>
      <w:r>
        <w:rPr>
          <w:rFonts w:hint="eastAsia" w:ascii="宋体" w:hAnsi="宋体" w:cs="宋体"/>
          <w:kern w:val="0"/>
          <w:sz w:val="27"/>
          <w:szCs w:val="27"/>
        </w:rPr>
        <w:t>本单位无下属单位。</w:t>
      </w:r>
    </w:p>
    <w:p w14:paraId="0690878A">
      <w:pPr>
        <w:autoSpaceDE w:val="0"/>
        <w:autoSpaceDN w:val="0"/>
        <w:spacing w:line="580" w:lineRule="atLeast"/>
        <w:ind w:firstLine="600"/>
        <w:rPr>
          <w:rFonts w:hint="eastAsia" w:ascii="宋体" w:hAnsi="宋体" w:cs="宋体"/>
          <w:kern w:val="0"/>
          <w:sz w:val="27"/>
          <w:szCs w:val="27"/>
        </w:rPr>
      </w:pPr>
    </w:p>
    <w:p w14:paraId="71AC6B08">
      <w:pPr>
        <w:autoSpaceDE w:val="0"/>
        <w:autoSpaceDN w:val="0"/>
        <w:spacing w:line="580" w:lineRule="atLeast"/>
        <w:ind w:firstLine="600"/>
        <w:rPr>
          <w:rFonts w:hint="eastAsia" w:ascii="宋体" w:hAnsi="宋体" w:cs="宋体"/>
          <w:kern w:val="0"/>
          <w:sz w:val="27"/>
          <w:szCs w:val="27"/>
        </w:rPr>
      </w:pPr>
      <w:r>
        <w:rPr>
          <w:rFonts w:hint="eastAsia" w:ascii="宋体" w:hAnsi="宋体" w:cs="宋体"/>
          <w:kern w:val="0"/>
          <w:sz w:val="27"/>
          <w:szCs w:val="27"/>
        </w:rPr>
        <w:t>2.从决算单位构成看，纳入本财政汇总决算编制范围的预算单位共计1家，详细情况见表：</w:t>
      </w:r>
    </w:p>
    <w:tbl>
      <w:tblPr>
        <w:tblStyle w:val="18"/>
        <w:tblW w:w="993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83"/>
        <w:gridCol w:w="4407"/>
        <w:gridCol w:w="4448"/>
      </w:tblGrid>
      <w:tr w14:paraId="32635D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03" w:hRule="atLeast"/>
        </w:trPr>
        <w:tc>
          <w:tcPr>
            <w:tcW w:w="108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E93110E">
            <w:pPr>
              <w:autoSpaceDE w:val="0"/>
              <w:autoSpaceDN w:val="0"/>
              <w:spacing w:before="100" w:after="100" w:line="580" w:lineRule="atLeast"/>
              <w:jc w:val="center"/>
              <w:rPr>
                <w:rFonts w:hint="eastAsia" w:ascii="宋体" w:hAnsi="宋体" w:cs="宋体"/>
                <w:kern w:val="0"/>
                <w:sz w:val="27"/>
                <w:szCs w:val="27"/>
              </w:rPr>
            </w:pPr>
            <w:r>
              <w:rPr>
                <w:rFonts w:hint="eastAsia" w:ascii="宋体" w:hAnsi="宋体" w:cs="宋体"/>
                <w:kern w:val="0"/>
                <w:sz w:val="27"/>
                <w:szCs w:val="27"/>
              </w:rPr>
              <w:t>序号</w:t>
            </w:r>
          </w:p>
        </w:tc>
        <w:tc>
          <w:tcPr>
            <w:tcW w:w="4407" w:type="dxa"/>
            <w:tcBorders>
              <w:top w:val="single" w:color="auto" w:sz="8" w:space="0"/>
              <w:left w:val="nil"/>
              <w:bottom w:val="single" w:color="auto" w:sz="8" w:space="0"/>
              <w:right w:val="single" w:color="auto" w:sz="8" w:space="0"/>
            </w:tcBorders>
            <w:tcMar>
              <w:left w:w="108" w:type="dxa"/>
              <w:right w:w="108" w:type="dxa"/>
            </w:tcMar>
            <w:vAlign w:val="center"/>
          </w:tcPr>
          <w:p w14:paraId="6B024FBA">
            <w:pPr>
              <w:autoSpaceDE w:val="0"/>
              <w:autoSpaceDN w:val="0"/>
              <w:spacing w:before="100" w:after="100" w:line="580" w:lineRule="atLeast"/>
              <w:ind w:firstLine="1576" w:firstLineChars="584"/>
              <w:rPr>
                <w:rFonts w:hint="eastAsia" w:ascii="宋体" w:hAnsi="宋体" w:cs="宋体"/>
                <w:kern w:val="0"/>
                <w:sz w:val="27"/>
                <w:szCs w:val="27"/>
              </w:rPr>
            </w:pPr>
            <w:r>
              <w:rPr>
                <w:rFonts w:hint="eastAsia" w:ascii="宋体" w:hAnsi="宋体" w:cs="宋体"/>
                <w:kern w:val="0"/>
                <w:sz w:val="27"/>
                <w:szCs w:val="27"/>
              </w:rPr>
              <w:t>单位名称</w:t>
            </w:r>
          </w:p>
        </w:tc>
        <w:tc>
          <w:tcPr>
            <w:tcW w:w="4448" w:type="dxa"/>
            <w:tcBorders>
              <w:top w:val="single" w:color="auto" w:sz="8" w:space="0"/>
              <w:left w:val="nil"/>
              <w:bottom w:val="single" w:color="auto" w:sz="8" w:space="0"/>
              <w:right w:val="single" w:color="auto" w:sz="8" w:space="0"/>
            </w:tcBorders>
            <w:tcMar>
              <w:left w:w="108" w:type="dxa"/>
              <w:right w:w="108" w:type="dxa"/>
            </w:tcMar>
            <w:vAlign w:val="center"/>
          </w:tcPr>
          <w:p w14:paraId="52B98655">
            <w:pPr>
              <w:autoSpaceDE w:val="0"/>
              <w:autoSpaceDN w:val="0"/>
              <w:spacing w:before="100" w:after="100" w:line="580" w:lineRule="atLeast"/>
              <w:ind w:firstLine="1620" w:firstLineChars="600"/>
              <w:rPr>
                <w:rFonts w:hint="eastAsia" w:ascii="宋体" w:hAnsi="宋体" w:cs="宋体"/>
                <w:kern w:val="0"/>
                <w:sz w:val="27"/>
                <w:szCs w:val="27"/>
              </w:rPr>
            </w:pPr>
            <w:r>
              <w:rPr>
                <w:rFonts w:hint="eastAsia" w:ascii="宋体" w:hAnsi="宋体" w:cs="宋体"/>
                <w:kern w:val="0"/>
                <w:sz w:val="27"/>
                <w:szCs w:val="27"/>
              </w:rPr>
              <w:t>单位性质</w:t>
            </w:r>
          </w:p>
        </w:tc>
      </w:tr>
      <w:tr w14:paraId="57D7B3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20" w:hRule="atLeast"/>
        </w:trPr>
        <w:tc>
          <w:tcPr>
            <w:tcW w:w="1083" w:type="dxa"/>
            <w:tcBorders>
              <w:top w:val="nil"/>
              <w:left w:val="single" w:color="auto" w:sz="8" w:space="0"/>
              <w:bottom w:val="single" w:color="auto" w:sz="8" w:space="0"/>
              <w:right w:val="single" w:color="auto" w:sz="8" w:space="0"/>
            </w:tcBorders>
            <w:tcMar>
              <w:left w:w="108" w:type="dxa"/>
              <w:right w:w="108" w:type="dxa"/>
            </w:tcMar>
            <w:vAlign w:val="center"/>
          </w:tcPr>
          <w:p w14:paraId="28F92E5B">
            <w:pPr>
              <w:autoSpaceDE w:val="0"/>
              <w:autoSpaceDN w:val="0"/>
              <w:spacing w:before="100" w:after="100" w:line="580" w:lineRule="atLeast"/>
              <w:ind w:firstLine="540" w:firstLineChars="200"/>
              <w:rPr>
                <w:rFonts w:hint="eastAsia" w:ascii="宋体" w:hAnsi="宋体" w:cs="宋体"/>
                <w:kern w:val="0"/>
                <w:sz w:val="27"/>
                <w:szCs w:val="27"/>
              </w:rPr>
            </w:pPr>
            <w:r>
              <w:rPr>
                <w:rFonts w:hint="eastAsia" w:ascii="宋体" w:hAnsi="宋体" w:cs="宋体"/>
                <w:kern w:val="0"/>
                <w:sz w:val="27"/>
                <w:szCs w:val="27"/>
              </w:rPr>
              <w:t>1</w:t>
            </w:r>
          </w:p>
        </w:tc>
        <w:tc>
          <w:tcPr>
            <w:tcW w:w="4407" w:type="dxa"/>
            <w:tcBorders>
              <w:top w:val="nil"/>
              <w:left w:val="nil"/>
              <w:bottom w:val="single" w:color="auto" w:sz="8" w:space="0"/>
              <w:right w:val="single" w:color="auto" w:sz="8" w:space="0"/>
            </w:tcBorders>
            <w:tcMar>
              <w:left w:w="108" w:type="dxa"/>
              <w:right w:w="108" w:type="dxa"/>
            </w:tcMar>
          </w:tcPr>
          <w:p w14:paraId="7A7431B2">
            <w:pPr>
              <w:autoSpaceDE w:val="0"/>
              <w:autoSpaceDN w:val="0"/>
              <w:spacing w:before="100" w:after="100" w:line="580" w:lineRule="atLeast"/>
              <w:ind w:firstLine="600"/>
              <w:jc w:val="center"/>
              <w:rPr>
                <w:rFonts w:hint="eastAsia" w:ascii="宋体" w:hAnsi="宋体" w:cs="宋体"/>
                <w:kern w:val="0"/>
                <w:sz w:val="24"/>
              </w:rPr>
            </w:pPr>
            <w:r>
              <w:rPr>
                <w:rFonts w:hint="eastAsia" w:ascii="宋体" w:hAnsi="宋体" w:cs="宋体"/>
                <w:kern w:val="0"/>
                <w:sz w:val="24"/>
              </w:rPr>
              <w:t>内蒙古自治区特种设备检验研究院巴彦淖尔分院</w:t>
            </w:r>
          </w:p>
        </w:tc>
        <w:tc>
          <w:tcPr>
            <w:tcW w:w="4448" w:type="dxa"/>
            <w:tcBorders>
              <w:top w:val="nil"/>
              <w:left w:val="nil"/>
              <w:bottom w:val="single" w:color="auto" w:sz="8" w:space="0"/>
              <w:right w:val="single" w:color="auto" w:sz="8" w:space="0"/>
            </w:tcBorders>
            <w:tcMar>
              <w:left w:w="108" w:type="dxa"/>
              <w:right w:w="108" w:type="dxa"/>
            </w:tcMar>
          </w:tcPr>
          <w:p w14:paraId="56A3754B">
            <w:pPr>
              <w:autoSpaceDE w:val="0"/>
              <w:autoSpaceDN w:val="0"/>
              <w:spacing w:before="100" w:after="100" w:line="580" w:lineRule="atLeast"/>
              <w:ind w:firstLine="1161" w:firstLineChars="484"/>
              <w:rPr>
                <w:rFonts w:hint="eastAsia" w:ascii="宋体" w:hAnsi="宋体" w:cs="宋体"/>
                <w:kern w:val="0"/>
                <w:sz w:val="24"/>
              </w:rPr>
            </w:pPr>
            <w:r>
              <w:rPr>
                <w:rFonts w:hint="eastAsia" w:ascii="宋体" w:hAnsi="宋体" w:cs="宋体"/>
                <w:kern w:val="0"/>
                <w:sz w:val="24"/>
              </w:rPr>
              <w:t>公益二类事业单位</w:t>
            </w:r>
          </w:p>
        </w:tc>
      </w:tr>
    </w:tbl>
    <w:p w14:paraId="0908A698">
      <w:pPr>
        <w:widowControl/>
        <w:jc w:val="left"/>
        <w:rPr>
          <w:rFonts w:hint="eastAsia" w:ascii="黑体" w:hAnsi="黑体" w:eastAsia="黑体" w:cs="黑体"/>
          <w:b/>
          <w:bCs/>
          <w:kern w:val="0"/>
          <w:sz w:val="27"/>
          <w:szCs w:val="27"/>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p>
    <w:p w14:paraId="2BEBC45A">
      <w:pPr>
        <w:widowControl/>
        <w:ind w:firstLine="542" w:firstLineChars="200"/>
        <w:jc w:val="left"/>
        <w:rPr>
          <w:rFonts w:eastAsia="Times New Roman"/>
          <w:kern w:val="0"/>
          <w:sz w:val="24"/>
        </w:rPr>
      </w:pPr>
      <w:r>
        <w:rPr>
          <w:rFonts w:ascii="黑体" w:hAnsi="黑体" w:eastAsia="黑体" w:cs="黑体"/>
          <w:b/>
          <w:bCs/>
          <w:kern w:val="0"/>
          <w:sz w:val="27"/>
          <w:szCs w:val="27"/>
        </w:rPr>
        <w:t>三、2023年度单位主要工作完成情况</w:t>
      </w:r>
    </w:p>
    <w:p w14:paraId="0ED86DD7">
      <w:pPr>
        <w:pStyle w:val="3"/>
        <w:keepNext w:val="0"/>
        <w:keepLines w:val="0"/>
        <w:widowControl/>
        <w:spacing w:before="0" w:after="0" w:line="240" w:lineRule="auto"/>
        <w:ind w:firstLine="540" w:firstLineChars="200"/>
        <w:jc w:val="left"/>
        <w:rPr>
          <w:rFonts w:hint="eastAsia" w:ascii="宋体" w:hAnsi="宋体" w:eastAsia="宋体" w:cs="宋体"/>
          <w:b w:val="0"/>
          <w:bCs w:val="0"/>
          <w:kern w:val="0"/>
          <w:sz w:val="27"/>
          <w:szCs w:val="27"/>
        </w:rPr>
      </w:pPr>
      <w:r>
        <w:rPr>
          <w:rFonts w:hint="eastAsia" w:ascii="宋体" w:hAnsi="宋体" w:eastAsia="宋体" w:cs="宋体"/>
          <w:b w:val="0"/>
          <w:bCs w:val="0"/>
          <w:kern w:val="0"/>
          <w:sz w:val="27"/>
          <w:szCs w:val="27"/>
        </w:rPr>
        <w:t>全年，检验检测各类特种设备12704台（套），检验各类气瓶20107只，检验压力管道293千米，常压罐车260台；校验安全阀8799只，检测锅炉水样481组；发放检验检测报告16450份。完成特种设备作业人员考试2689人次，考试合格2014人次，合格率74%。</w:t>
      </w:r>
    </w:p>
    <w:p w14:paraId="1FFA8CFA">
      <w:pPr>
        <w:pStyle w:val="3"/>
        <w:keepNext w:val="0"/>
        <w:keepLines w:val="0"/>
        <w:widowControl/>
        <w:spacing w:before="0" w:after="0" w:line="240" w:lineRule="auto"/>
        <w:ind w:firstLine="540" w:firstLineChars="200"/>
        <w:jc w:val="left"/>
        <w:rPr>
          <w:rFonts w:hint="eastAsia" w:ascii="宋体" w:hAnsi="宋体" w:eastAsia="宋体" w:cs="宋体"/>
          <w:b w:val="0"/>
          <w:bCs w:val="0"/>
          <w:kern w:val="0"/>
          <w:sz w:val="27"/>
          <w:szCs w:val="27"/>
        </w:rPr>
      </w:pPr>
      <w:r>
        <w:rPr>
          <w:rFonts w:hint="eastAsia" w:ascii="宋体" w:hAnsi="宋体" w:eastAsia="宋体" w:cs="宋体"/>
          <w:b w:val="0"/>
          <w:bCs w:val="0"/>
          <w:kern w:val="0"/>
          <w:sz w:val="27"/>
          <w:szCs w:val="27"/>
        </w:rPr>
        <w:t>入缴非税及经营收入合计3432.48万元，超出全年预算收入28个百分点；财政拨款支出1733.67万元，支出进度达到99.9%。</w:t>
      </w:r>
    </w:p>
    <w:p w14:paraId="69FF0B50">
      <w:pPr>
        <w:pStyle w:val="3"/>
        <w:keepNext w:val="0"/>
        <w:keepLines w:val="0"/>
        <w:widowControl/>
        <w:spacing w:before="0" w:after="0" w:line="240" w:lineRule="auto"/>
        <w:ind w:firstLine="540" w:firstLineChars="200"/>
        <w:jc w:val="left"/>
        <w:rPr>
          <w:rFonts w:hint="eastAsia" w:ascii="宋体" w:hAnsi="宋体" w:eastAsia="宋体" w:cs="宋体"/>
          <w:b w:val="0"/>
          <w:bCs w:val="0"/>
          <w:kern w:val="0"/>
          <w:sz w:val="27"/>
          <w:szCs w:val="27"/>
        </w:rPr>
      </w:pPr>
      <w:r>
        <w:rPr>
          <w:rFonts w:hint="eastAsia" w:ascii="宋体" w:hAnsi="宋体" w:eastAsia="宋体" w:cs="宋体"/>
          <w:b w:val="0"/>
          <w:bCs w:val="0"/>
          <w:kern w:val="0"/>
          <w:sz w:val="27"/>
          <w:szCs w:val="27"/>
        </w:rPr>
        <w:t>先后举办四期落实特种设备“两个规定”培训班，有727家企业，共计1378人参加培训，创收127.4万；对72名特种设备安全监察人员进行免费培训。</w:t>
      </w:r>
    </w:p>
    <w:p w14:paraId="7861FA9D">
      <w:pPr>
        <w:pStyle w:val="3"/>
        <w:keepNext w:val="0"/>
        <w:keepLines w:val="0"/>
        <w:widowControl/>
        <w:spacing w:before="0" w:after="0" w:line="240" w:lineRule="auto"/>
        <w:ind w:firstLine="720" w:firstLineChars="200"/>
        <w:jc w:val="center"/>
        <w:rPr>
          <w:rFonts w:ascii="Times New Roman" w:hAnsi="Times New Roman" w:eastAsia="Times New Roman"/>
          <w:kern w:val="0"/>
          <w:sz w:val="36"/>
          <w:szCs w:val="36"/>
        </w:rPr>
      </w:pPr>
      <w:r>
        <w:rPr>
          <w:rFonts w:ascii="fang_zheng_xiao_biao_song_ti" w:hAnsi="fang_zheng_xiao_biao_song_ti" w:eastAsia="fang_zheng_xiao_biao_song_ti" w:cs="fang_zheng_xiao_biao_song_ti"/>
          <w:kern w:val="0"/>
          <w:sz w:val="36"/>
          <w:szCs w:val="36"/>
        </w:rPr>
        <w:t>第二部分  单位决算情况说明</w:t>
      </w:r>
    </w:p>
    <w:p w14:paraId="61D85138">
      <w:pPr>
        <w:widowControl/>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一、收入支出决算总体情况说明</w:t>
      </w:r>
    </w:p>
    <w:p w14:paraId="42B0B8AC">
      <w:pPr>
        <w:widowControl/>
        <w:rPr>
          <w:rFonts w:hint="eastAsia" w:ascii="宋体" w:hAnsi="宋体" w:cs="宋体"/>
          <w:kern w:val="0"/>
          <w:sz w:val="27"/>
          <w:szCs w:val="27"/>
        </w:rPr>
      </w:pPr>
      <w:r>
        <w:rPr>
          <w:rFonts w:ascii="fang_song_gb2312" w:hAnsi="fang_song_gb2312" w:eastAsia="fang_song_gb2312" w:cs="fang_song_gb2312"/>
          <w:kern w:val="0"/>
          <w:sz w:val="27"/>
          <w:szCs w:val="27"/>
        </w:rPr>
        <w:t>   </w:t>
      </w:r>
      <w:r>
        <w:rPr>
          <w:rFonts w:hint="eastAsia" w:ascii="宋体" w:hAnsi="宋体" w:cs="宋体"/>
          <w:kern w:val="0"/>
          <w:sz w:val="27"/>
          <w:szCs w:val="27"/>
        </w:rPr>
        <w:t xml:space="preserve">  内蒙古自治区特种设备检验研究院巴彦淖尔分院 2023年度收入、支出决算总计</w:t>
      </w:r>
      <w:r>
        <w:rPr>
          <w:rFonts w:hint="eastAsia" w:ascii="宋体" w:hAnsi="宋体" w:cs="宋体"/>
          <w:kern w:val="0"/>
          <w:sz w:val="27"/>
          <w:szCs w:val="27"/>
          <w:u w:val="single"/>
        </w:rPr>
        <w:t xml:space="preserve"> 3,437.50</w:t>
      </w:r>
      <w:r>
        <w:rPr>
          <w:rFonts w:hint="eastAsia" w:ascii="宋体" w:hAnsi="宋体" w:cs="宋体"/>
          <w:kern w:val="0"/>
          <w:sz w:val="27"/>
          <w:szCs w:val="27"/>
        </w:rPr>
        <w:t>万元。与年初预算相比，收、支总计各增加</w:t>
      </w:r>
      <w:r>
        <w:rPr>
          <w:rFonts w:hint="eastAsia" w:ascii="宋体" w:hAnsi="宋体" w:cs="宋体"/>
          <w:kern w:val="0"/>
          <w:sz w:val="27"/>
          <w:szCs w:val="27"/>
          <w:u w:val="single"/>
        </w:rPr>
        <w:t xml:space="preserve"> 343.72</w:t>
      </w:r>
      <w:r>
        <w:rPr>
          <w:rFonts w:hint="eastAsia" w:ascii="宋体" w:hAnsi="宋体" w:cs="宋体"/>
          <w:kern w:val="0"/>
          <w:sz w:val="27"/>
          <w:szCs w:val="27"/>
        </w:rPr>
        <w:t>万元，增长</w:t>
      </w:r>
      <w:r>
        <w:rPr>
          <w:rFonts w:hint="eastAsia" w:ascii="宋体" w:hAnsi="宋体" w:cs="宋体"/>
          <w:kern w:val="0"/>
          <w:sz w:val="27"/>
          <w:szCs w:val="27"/>
          <w:u w:val="single"/>
        </w:rPr>
        <w:t xml:space="preserve"> 11.11</w:t>
      </w:r>
      <w:r>
        <w:rPr>
          <w:rFonts w:hint="eastAsia" w:ascii="宋体" w:hAnsi="宋体" w:cs="宋体"/>
          <w:kern w:val="0"/>
          <w:sz w:val="27"/>
          <w:szCs w:val="27"/>
        </w:rPr>
        <w:t>%，变动原因：一般公共预算财政拨款收入减少0.11万元，经营收入增加810.83万元，年初结转和结余减少467万元，总体增加343.72万元，我单位本年度原有业务顺利开展，积极开拓新业务，收入较上年增加；与上年决算相比，收、支总计各增加</w:t>
      </w:r>
      <w:r>
        <w:rPr>
          <w:rFonts w:hint="eastAsia" w:ascii="宋体" w:hAnsi="宋体" w:cs="宋体"/>
          <w:kern w:val="0"/>
          <w:sz w:val="27"/>
          <w:szCs w:val="27"/>
          <w:u w:val="single"/>
        </w:rPr>
        <w:t xml:space="preserve"> 990.84</w:t>
      </w:r>
      <w:r>
        <w:rPr>
          <w:rFonts w:hint="eastAsia" w:ascii="宋体" w:hAnsi="宋体" w:cs="宋体"/>
          <w:kern w:val="0"/>
          <w:sz w:val="27"/>
          <w:szCs w:val="27"/>
        </w:rPr>
        <w:t>万元，增长</w:t>
      </w:r>
      <w:r>
        <w:rPr>
          <w:rFonts w:hint="eastAsia" w:ascii="宋体" w:hAnsi="宋体" w:cs="宋体"/>
          <w:kern w:val="0"/>
          <w:sz w:val="27"/>
          <w:szCs w:val="27"/>
          <w:u w:val="single"/>
        </w:rPr>
        <w:t>40.50</w:t>
      </w:r>
      <w:r>
        <w:rPr>
          <w:rFonts w:hint="eastAsia" w:ascii="宋体" w:hAnsi="宋体" w:cs="宋体"/>
          <w:kern w:val="0"/>
          <w:sz w:val="27"/>
          <w:szCs w:val="27"/>
        </w:rPr>
        <w:t>%。其中：一般公共预算财政拨款收入增加89.15万元，经营收入增加918.7万元，年初结转和结余减少17.01万元。</w:t>
      </w:r>
    </w:p>
    <w:p w14:paraId="10A96478">
      <w:pPr>
        <w:widowControl/>
        <w:jc w:val="left"/>
        <w:rPr>
          <w:rFonts w:eastAsia="Times New Roman"/>
          <w:kern w:val="0"/>
          <w:sz w:val="24"/>
        </w:rPr>
      </w:pPr>
      <w:r>
        <w:rPr>
          <w:rFonts w:ascii="kai_ti_gb2312" w:hAnsi="kai_ti_gb2312" w:eastAsia="kai_ti_gb2312" w:cs="kai_ti_gb2312"/>
          <w:b/>
          <w:bCs/>
          <w:kern w:val="0"/>
          <w:sz w:val="27"/>
          <w:szCs w:val="27"/>
        </w:rPr>
        <w:t>    （一）收入决算总计</w:t>
      </w:r>
      <w:r>
        <w:rPr>
          <w:rFonts w:hint="eastAsia" w:ascii="宋体" w:hAnsi="宋体" w:cs="宋体"/>
          <w:b/>
          <w:bCs/>
          <w:kern w:val="0"/>
          <w:sz w:val="27"/>
          <w:szCs w:val="27"/>
          <w:u w:val="single"/>
        </w:rPr>
        <w:t xml:space="preserve"> 3,437.50</w:t>
      </w:r>
      <w:r>
        <w:rPr>
          <w:rFonts w:ascii="kai_ti_gb2312" w:hAnsi="kai_ti_gb2312" w:eastAsia="kai_ti_gb2312" w:cs="kai_ti_gb2312"/>
          <w:b/>
          <w:bCs/>
          <w:kern w:val="0"/>
          <w:sz w:val="27"/>
          <w:szCs w:val="27"/>
        </w:rPr>
        <w:t>万元。包括：</w:t>
      </w:r>
    </w:p>
    <w:p w14:paraId="4D801C18">
      <w:pPr>
        <w:widowControl/>
        <w:rPr>
          <w:rFonts w:hint="eastAsia" w:ascii="宋体" w:hAnsi="宋体" w:cs="宋体"/>
          <w:kern w:val="0"/>
          <w:sz w:val="27"/>
          <w:szCs w:val="27"/>
        </w:rPr>
      </w:pPr>
      <w:r>
        <w:rPr>
          <w:rFonts w:ascii="fang_song_gb2312" w:hAnsi="fang_song_gb2312" w:eastAsia="fang_song_gb2312" w:cs="fang_song_gb2312"/>
          <w:kern w:val="0"/>
          <w:sz w:val="27"/>
          <w:szCs w:val="27"/>
        </w:rPr>
        <w:t xml:space="preserve">  </w:t>
      </w:r>
      <w:r>
        <w:rPr>
          <w:rFonts w:hint="eastAsia" w:ascii="宋体" w:hAnsi="宋体" w:cs="宋体"/>
          <w:kern w:val="0"/>
          <w:sz w:val="27"/>
          <w:szCs w:val="27"/>
        </w:rPr>
        <w:t>  1.本年收入决算合计</w:t>
      </w:r>
      <w:r>
        <w:rPr>
          <w:rFonts w:hint="eastAsia" w:ascii="宋体" w:hAnsi="宋体" w:cs="宋体"/>
          <w:kern w:val="0"/>
          <w:sz w:val="27"/>
          <w:szCs w:val="27"/>
          <w:u w:val="single"/>
        </w:rPr>
        <w:t xml:space="preserve"> 3,454.50</w:t>
      </w:r>
      <w:r>
        <w:rPr>
          <w:rFonts w:hint="eastAsia" w:ascii="宋体" w:hAnsi="宋体" w:cs="宋体"/>
          <w:kern w:val="0"/>
          <w:sz w:val="27"/>
          <w:szCs w:val="27"/>
        </w:rPr>
        <w:t>万元。与上年决算相比，增加</w:t>
      </w:r>
      <w:r>
        <w:rPr>
          <w:rFonts w:hint="eastAsia" w:ascii="宋体" w:hAnsi="宋体" w:cs="宋体"/>
          <w:kern w:val="0"/>
          <w:sz w:val="27"/>
          <w:szCs w:val="27"/>
          <w:u w:val="single"/>
        </w:rPr>
        <w:t xml:space="preserve"> 1,007.85</w:t>
      </w:r>
      <w:r>
        <w:rPr>
          <w:rFonts w:hint="eastAsia" w:ascii="宋体" w:hAnsi="宋体" w:cs="宋体"/>
          <w:kern w:val="0"/>
          <w:sz w:val="27"/>
          <w:szCs w:val="27"/>
        </w:rPr>
        <w:t xml:space="preserve">万元，增长 </w:t>
      </w:r>
      <w:r>
        <w:rPr>
          <w:rFonts w:hint="eastAsia" w:ascii="宋体" w:hAnsi="宋体" w:cs="宋体"/>
          <w:kern w:val="0"/>
          <w:sz w:val="27"/>
          <w:szCs w:val="27"/>
          <w:u w:val="single"/>
        </w:rPr>
        <w:t>41.19</w:t>
      </w:r>
      <w:r>
        <w:rPr>
          <w:rFonts w:hint="eastAsia" w:ascii="宋体" w:hAnsi="宋体" w:cs="宋体"/>
          <w:kern w:val="0"/>
          <w:sz w:val="27"/>
          <w:szCs w:val="27"/>
        </w:rPr>
        <w:t>%，变动原因：一般公共预算财政拨款收入增加89.14万元，经营收入增加918.71万元，我单位原有业务顺利开展，新业务得到拓展，经营收入增加。</w:t>
      </w:r>
    </w:p>
    <w:p w14:paraId="46C2B004">
      <w:pPr>
        <w:widowControl/>
        <w:rPr>
          <w:rFonts w:hint="eastAsia" w:ascii="宋体" w:hAnsi="宋体" w:cs="宋体"/>
          <w:kern w:val="0"/>
          <w:sz w:val="27"/>
          <w:szCs w:val="27"/>
        </w:rPr>
      </w:pPr>
      <w:r>
        <w:rPr>
          <w:rFonts w:hint="eastAsia" w:ascii="宋体" w:hAnsi="宋体" w:cs="宋体"/>
          <w:kern w:val="0"/>
          <w:sz w:val="27"/>
          <w:szCs w:val="27"/>
        </w:rPr>
        <w:t>   2.使用非财政拨款结余和专用结余</w:t>
      </w:r>
      <w:r>
        <w:rPr>
          <w:rFonts w:hint="eastAsia" w:ascii="宋体" w:hAnsi="宋体" w:cs="宋体"/>
          <w:kern w:val="0"/>
          <w:sz w:val="27"/>
          <w:szCs w:val="27"/>
          <w:u w:val="single"/>
        </w:rPr>
        <w:t xml:space="preserve"> 0.00</w:t>
      </w:r>
      <w:r>
        <w:rPr>
          <w:rFonts w:hint="eastAsia" w:ascii="宋体" w:hAnsi="宋体" w:cs="宋体"/>
          <w:kern w:val="0"/>
          <w:sz w:val="27"/>
          <w:szCs w:val="27"/>
        </w:rPr>
        <w:t>万元。与上年决算相比，增加</w:t>
      </w:r>
      <w:r>
        <w:rPr>
          <w:rFonts w:hint="eastAsia" w:ascii="宋体" w:hAnsi="宋体" w:cs="宋体"/>
          <w:kern w:val="0"/>
          <w:sz w:val="27"/>
          <w:szCs w:val="27"/>
          <w:u w:val="single"/>
        </w:rPr>
        <w:t xml:space="preserve"> 0.00</w:t>
      </w:r>
      <w:r>
        <w:rPr>
          <w:rFonts w:hint="eastAsia" w:ascii="宋体" w:hAnsi="宋体" w:cs="宋体"/>
          <w:kern w:val="0"/>
          <w:sz w:val="27"/>
          <w:szCs w:val="27"/>
        </w:rPr>
        <w:t>万元，增长</w:t>
      </w:r>
      <w:r>
        <w:rPr>
          <w:rFonts w:hint="eastAsia" w:ascii="宋体" w:hAnsi="宋体" w:cs="宋体"/>
          <w:kern w:val="0"/>
          <w:sz w:val="27"/>
          <w:szCs w:val="27"/>
          <w:u w:val="single"/>
        </w:rPr>
        <w:t xml:space="preserve"> 0  </w:t>
      </w:r>
      <w:r>
        <w:rPr>
          <w:rFonts w:hint="eastAsia" w:ascii="宋体" w:hAnsi="宋体" w:cs="宋体"/>
          <w:kern w:val="0"/>
          <w:sz w:val="27"/>
          <w:szCs w:val="27"/>
        </w:rPr>
        <w:t>%，变动原因：我单位无此项收入。</w:t>
      </w:r>
    </w:p>
    <w:p w14:paraId="35E7677D">
      <w:pPr>
        <w:widowControl/>
        <w:rPr>
          <w:rFonts w:hint="eastAsia" w:ascii="宋体" w:hAnsi="宋体" w:cs="宋体"/>
          <w:kern w:val="0"/>
          <w:sz w:val="27"/>
          <w:szCs w:val="27"/>
        </w:rPr>
      </w:pPr>
      <w:r>
        <w:rPr>
          <w:rFonts w:hint="eastAsia" w:ascii="宋体" w:hAnsi="宋体" w:cs="宋体"/>
          <w:kern w:val="0"/>
          <w:sz w:val="27"/>
          <w:szCs w:val="27"/>
        </w:rPr>
        <w:t>   3.年初结转和结余</w:t>
      </w:r>
      <w:r>
        <w:rPr>
          <w:rFonts w:hint="eastAsia" w:ascii="宋体" w:hAnsi="宋体" w:cs="宋体"/>
          <w:kern w:val="0"/>
          <w:sz w:val="27"/>
          <w:szCs w:val="27"/>
          <w:u w:val="single"/>
        </w:rPr>
        <w:t xml:space="preserve"> -17.01 </w:t>
      </w:r>
      <w:r>
        <w:rPr>
          <w:rFonts w:hint="eastAsia" w:ascii="宋体" w:hAnsi="宋体" w:cs="宋体"/>
          <w:kern w:val="0"/>
          <w:sz w:val="27"/>
          <w:szCs w:val="27"/>
        </w:rPr>
        <w:t>万元。与上年决算相比，减少</w:t>
      </w:r>
      <w:r>
        <w:rPr>
          <w:rFonts w:hint="eastAsia" w:ascii="宋体" w:hAnsi="宋体" w:cs="宋体"/>
          <w:kern w:val="0"/>
          <w:sz w:val="27"/>
          <w:szCs w:val="27"/>
          <w:u w:val="single"/>
        </w:rPr>
        <w:t>17.01</w:t>
      </w:r>
      <w:r>
        <w:rPr>
          <w:rFonts w:hint="eastAsia" w:ascii="宋体" w:hAnsi="宋体" w:cs="宋体"/>
          <w:kern w:val="0"/>
          <w:sz w:val="27"/>
          <w:szCs w:val="27"/>
        </w:rPr>
        <w:t>万元，减少</w:t>
      </w:r>
      <w:r>
        <w:rPr>
          <w:rFonts w:hint="eastAsia" w:ascii="宋体" w:hAnsi="宋体" w:cs="宋体"/>
          <w:kern w:val="0"/>
          <w:sz w:val="27"/>
          <w:szCs w:val="27"/>
          <w:u w:val="single"/>
        </w:rPr>
        <w:t xml:space="preserve"> 100 </w:t>
      </w:r>
      <w:r>
        <w:rPr>
          <w:rFonts w:hint="eastAsia" w:ascii="宋体" w:hAnsi="宋体" w:cs="宋体"/>
          <w:kern w:val="0"/>
          <w:sz w:val="27"/>
          <w:szCs w:val="27"/>
        </w:rPr>
        <w:t>%，变动原因：2022年经营支出大于经营收入，导致年末产生负结余，所以2023年年初结转和结余为</w:t>
      </w:r>
      <w:r>
        <w:rPr>
          <w:rFonts w:hint="eastAsia" w:ascii="宋体" w:hAnsi="宋体" w:cs="宋体"/>
          <w:kern w:val="0"/>
          <w:sz w:val="27"/>
          <w:szCs w:val="27"/>
          <w:u w:val="single"/>
        </w:rPr>
        <w:t xml:space="preserve"> -17.01 </w:t>
      </w:r>
      <w:r>
        <w:rPr>
          <w:rFonts w:hint="eastAsia" w:ascii="宋体" w:hAnsi="宋体" w:cs="宋体"/>
          <w:kern w:val="0"/>
          <w:sz w:val="27"/>
          <w:szCs w:val="27"/>
        </w:rPr>
        <w:t>万元。</w:t>
      </w:r>
    </w:p>
    <w:p w14:paraId="0979FEAE">
      <w:pPr>
        <w:widowControl/>
        <w:jc w:val="left"/>
        <w:rPr>
          <w:rFonts w:eastAsia="Times New Roman"/>
          <w:kern w:val="0"/>
          <w:sz w:val="24"/>
        </w:rPr>
      </w:pPr>
      <w:r>
        <w:rPr>
          <w:rFonts w:ascii="kai_ti_gb2312" w:hAnsi="kai_ti_gb2312" w:eastAsia="kai_ti_gb2312" w:cs="kai_ti_gb2312"/>
          <w:b/>
          <w:bCs/>
          <w:kern w:val="0"/>
          <w:sz w:val="27"/>
          <w:szCs w:val="27"/>
        </w:rPr>
        <w:t>    （二）支出决算总计</w:t>
      </w:r>
      <w:r>
        <w:rPr>
          <w:rFonts w:hint="eastAsia" w:ascii="宋体" w:hAnsi="宋体" w:cs="宋体"/>
          <w:b/>
          <w:bCs/>
          <w:kern w:val="0"/>
          <w:sz w:val="27"/>
          <w:szCs w:val="27"/>
          <w:u w:val="single"/>
        </w:rPr>
        <w:t xml:space="preserve"> 3,437.50</w:t>
      </w:r>
      <w:r>
        <w:rPr>
          <w:rFonts w:ascii="kai_ti_gb2312" w:hAnsi="kai_ti_gb2312" w:eastAsia="kai_ti_gb2312" w:cs="kai_ti_gb2312"/>
          <w:b/>
          <w:bCs/>
          <w:kern w:val="0"/>
          <w:sz w:val="27"/>
          <w:szCs w:val="27"/>
        </w:rPr>
        <w:t>万元。包括：</w:t>
      </w:r>
    </w:p>
    <w:p w14:paraId="282C0BA4">
      <w:pPr>
        <w:widowControl/>
        <w:ind w:firstLine="488"/>
        <w:rPr>
          <w:rFonts w:hint="eastAsia" w:ascii="宋体" w:hAnsi="宋体" w:cs="宋体"/>
          <w:kern w:val="0"/>
          <w:sz w:val="27"/>
          <w:szCs w:val="27"/>
        </w:rPr>
      </w:pPr>
      <w:r>
        <w:rPr>
          <w:rFonts w:hint="eastAsia" w:ascii="宋体" w:hAnsi="宋体" w:cs="宋体"/>
          <w:kern w:val="0"/>
          <w:sz w:val="27"/>
          <w:szCs w:val="27"/>
        </w:rPr>
        <w:t>1.本年支出决算合计</w:t>
      </w:r>
      <w:r>
        <w:rPr>
          <w:rFonts w:hint="eastAsia" w:ascii="宋体" w:hAnsi="宋体" w:cs="宋体"/>
          <w:kern w:val="0"/>
          <w:sz w:val="27"/>
          <w:szCs w:val="27"/>
          <w:u w:val="single"/>
        </w:rPr>
        <w:t xml:space="preserve"> 2,762.33</w:t>
      </w:r>
      <w:r>
        <w:rPr>
          <w:rFonts w:hint="eastAsia" w:ascii="宋体" w:hAnsi="宋体" w:cs="宋体"/>
          <w:kern w:val="0"/>
          <w:sz w:val="27"/>
          <w:szCs w:val="27"/>
        </w:rPr>
        <w:t>万元。与上年决算相比，增加</w:t>
      </w:r>
      <w:r>
        <w:rPr>
          <w:rFonts w:hint="eastAsia" w:ascii="宋体" w:hAnsi="宋体" w:cs="宋体"/>
          <w:kern w:val="0"/>
          <w:sz w:val="27"/>
          <w:szCs w:val="27"/>
          <w:u w:val="single"/>
        </w:rPr>
        <w:t xml:space="preserve"> 298.67</w:t>
      </w:r>
      <w:r>
        <w:rPr>
          <w:rFonts w:hint="eastAsia" w:ascii="宋体" w:hAnsi="宋体" w:cs="宋体"/>
          <w:kern w:val="0"/>
          <w:sz w:val="27"/>
          <w:szCs w:val="27"/>
        </w:rPr>
        <w:t>万元，增长</w:t>
      </w:r>
      <w:r>
        <w:rPr>
          <w:rFonts w:hint="eastAsia" w:ascii="宋体" w:hAnsi="宋体" w:cs="宋体"/>
          <w:kern w:val="0"/>
          <w:sz w:val="27"/>
          <w:szCs w:val="27"/>
          <w:u w:val="single"/>
        </w:rPr>
        <w:t xml:space="preserve"> 12.12 </w:t>
      </w:r>
      <w:r>
        <w:rPr>
          <w:rFonts w:hint="eastAsia" w:ascii="宋体" w:hAnsi="宋体" w:cs="宋体"/>
          <w:kern w:val="0"/>
          <w:sz w:val="27"/>
          <w:szCs w:val="27"/>
        </w:rPr>
        <w:t>%，变动原因：一般公共服务支出增加</w:t>
      </w:r>
      <w:r>
        <w:rPr>
          <w:rFonts w:hint="eastAsia" w:ascii="宋体" w:hAnsi="宋体" w:cs="宋体"/>
          <w:kern w:val="0"/>
          <w:sz w:val="27"/>
          <w:szCs w:val="27"/>
          <w:u w:val="single"/>
        </w:rPr>
        <w:t xml:space="preserve"> 213.55 </w:t>
      </w:r>
      <w:r>
        <w:rPr>
          <w:rFonts w:hint="eastAsia" w:ascii="宋体" w:hAnsi="宋体" w:cs="宋体"/>
          <w:kern w:val="0"/>
          <w:sz w:val="27"/>
          <w:szCs w:val="27"/>
        </w:rPr>
        <w:t>万元，社会保障和就业支出增加</w:t>
      </w:r>
      <w:r>
        <w:rPr>
          <w:rFonts w:hint="eastAsia" w:ascii="宋体" w:hAnsi="宋体" w:cs="宋体"/>
          <w:kern w:val="0"/>
          <w:sz w:val="27"/>
          <w:szCs w:val="27"/>
          <w:u w:val="single"/>
        </w:rPr>
        <w:t xml:space="preserve"> 91.12 </w:t>
      </w:r>
      <w:r>
        <w:rPr>
          <w:rFonts w:hint="eastAsia" w:ascii="宋体" w:hAnsi="宋体" w:cs="宋体"/>
          <w:kern w:val="0"/>
          <w:sz w:val="27"/>
          <w:szCs w:val="27"/>
        </w:rPr>
        <w:t>万元，住房保障支出减少</w:t>
      </w:r>
      <w:r>
        <w:rPr>
          <w:rFonts w:hint="eastAsia" w:ascii="宋体" w:hAnsi="宋体" w:cs="宋体"/>
          <w:kern w:val="0"/>
          <w:sz w:val="27"/>
          <w:szCs w:val="27"/>
          <w:u w:val="single"/>
        </w:rPr>
        <w:t xml:space="preserve">  6  </w:t>
      </w:r>
      <w:r>
        <w:rPr>
          <w:rFonts w:hint="eastAsia" w:ascii="宋体" w:hAnsi="宋体" w:cs="宋体"/>
          <w:kern w:val="0"/>
          <w:sz w:val="27"/>
          <w:szCs w:val="27"/>
        </w:rPr>
        <w:t>万元。本年业务量增加，为保证各项业务正常运转，支出相应增加。</w:t>
      </w:r>
    </w:p>
    <w:p w14:paraId="3CC74F6C">
      <w:pPr>
        <w:widowControl/>
        <w:ind w:firstLine="488"/>
        <w:rPr>
          <w:rFonts w:hint="eastAsia" w:ascii="宋体" w:hAnsi="宋体" w:cs="宋体"/>
          <w:kern w:val="0"/>
          <w:sz w:val="24"/>
        </w:rPr>
      </w:pPr>
      <w:r>
        <w:rPr>
          <w:rFonts w:hint="eastAsia" w:ascii="宋体" w:hAnsi="宋体" w:cs="宋体"/>
          <w:kern w:val="0"/>
          <w:sz w:val="27"/>
          <w:szCs w:val="27"/>
        </w:rPr>
        <w:t xml:space="preserve"> 2.结余分配</w:t>
      </w:r>
      <w:r>
        <w:rPr>
          <w:rFonts w:hint="eastAsia" w:ascii="宋体" w:hAnsi="宋体" w:cs="宋体"/>
          <w:kern w:val="0"/>
          <w:sz w:val="27"/>
          <w:szCs w:val="27"/>
          <w:u w:val="single"/>
        </w:rPr>
        <w:t xml:space="preserve"> 675.17</w:t>
      </w:r>
      <w:r>
        <w:rPr>
          <w:rFonts w:hint="eastAsia" w:ascii="宋体" w:hAnsi="宋体" w:cs="宋体"/>
          <w:kern w:val="0"/>
          <w:sz w:val="27"/>
          <w:szCs w:val="27"/>
        </w:rPr>
        <w:t>万元。结余分配事项：经营收入减去经营支出后的经营结余。与上年决算相比，增加</w:t>
      </w:r>
      <w:r>
        <w:rPr>
          <w:rFonts w:hint="eastAsia" w:ascii="宋体" w:hAnsi="宋体" w:cs="宋体"/>
          <w:kern w:val="0"/>
          <w:sz w:val="27"/>
          <w:szCs w:val="27"/>
          <w:u w:val="single"/>
        </w:rPr>
        <w:t xml:space="preserve"> 675.17</w:t>
      </w:r>
      <w:r>
        <w:rPr>
          <w:rFonts w:hint="eastAsia" w:ascii="宋体" w:hAnsi="宋体" w:cs="宋体"/>
          <w:kern w:val="0"/>
          <w:sz w:val="27"/>
          <w:szCs w:val="27"/>
        </w:rPr>
        <w:t>万元，增长</w:t>
      </w:r>
      <w:r>
        <w:rPr>
          <w:rFonts w:hint="eastAsia" w:ascii="宋体" w:hAnsi="宋体" w:cs="宋体"/>
          <w:kern w:val="0"/>
          <w:sz w:val="27"/>
          <w:szCs w:val="27"/>
          <w:u w:val="single"/>
        </w:rPr>
        <w:t xml:space="preserve"> 100 </w:t>
      </w:r>
      <w:r>
        <w:rPr>
          <w:rFonts w:hint="eastAsia" w:ascii="宋体" w:hAnsi="宋体" w:cs="宋体"/>
          <w:kern w:val="0"/>
          <w:sz w:val="27"/>
          <w:szCs w:val="27"/>
        </w:rPr>
        <w:t>%，变动原因：本年检验任务增加，经营收入有较大幅度的提高。</w:t>
      </w:r>
    </w:p>
    <w:p w14:paraId="453EA898">
      <w:pPr>
        <w:widowControl/>
        <w:rPr>
          <w:rFonts w:eastAsia="Times New Roman"/>
          <w:kern w:val="0"/>
          <w:sz w:val="24"/>
        </w:rPr>
      </w:pPr>
      <w:r>
        <w:rPr>
          <w:rFonts w:ascii="fang_song_gb2312" w:hAnsi="fang_song_gb2312" w:eastAsia="fang_song_gb2312" w:cs="fang_song_gb2312"/>
          <w:kern w:val="0"/>
          <w:sz w:val="27"/>
          <w:szCs w:val="27"/>
        </w:rPr>
        <w:t> </w:t>
      </w:r>
      <w:r>
        <w:rPr>
          <w:rFonts w:hint="eastAsia" w:ascii="宋体" w:hAnsi="宋体" w:cs="宋体"/>
          <w:kern w:val="0"/>
          <w:sz w:val="27"/>
          <w:szCs w:val="27"/>
        </w:rPr>
        <w:t xml:space="preserve">   3.年末结转和结余</w:t>
      </w:r>
      <w:r>
        <w:rPr>
          <w:rFonts w:hint="eastAsia" w:ascii="宋体" w:hAnsi="宋体" w:cs="宋体"/>
          <w:kern w:val="0"/>
          <w:sz w:val="27"/>
          <w:szCs w:val="27"/>
          <w:u w:val="single"/>
        </w:rPr>
        <w:t xml:space="preserve"> 0.00</w:t>
      </w:r>
      <w:r>
        <w:rPr>
          <w:rFonts w:hint="eastAsia" w:ascii="宋体" w:hAnsi="宋体" w:cs="宋体"/>
          <w:kern w:val="0"/>
          <w:sz w:val="27"/>
          <w:szCs w:val="27"/>
        </w:rPr>
        <w:t>万元。结转和结余事项：无。与上年决算相比，减少</w:t>
      </w:r>
      <w:r>
        <w:rPr>
          <w:rFonts w:hint="eastAsia" w:ascii="宋体" w:hAnsi="宋体" w:cs="宋体"/>
          <w:kern w:val="0"/>
          <w:sz w:val="27"/>
          <w:szCs w:val="27"/>
          <w:u w:val="single"/>
        </w:rPr>
        <w:t xml:space="preserve"> -17.01 </w:t>
      </w:r>
      <w:r>
        <w:rPr>
          <w:rFonts w:hint="eastAsia" w:ascii="宋体" w:hAnsi="宋体" w:cs="宋体"/>
          <w:kern w:val="0"/>
          <w:sz w:val="27"/>
          <w:szCs w:val="27"/>
        </w:rPr>
        <w:t>万元，减少</w:t>
      </w:r>
      <w:r>
        <w:rPr>
          <w:rFonts w:hint="eastAsia" w:ascii="宋体" w:hAnsi="宋体" w:cs="宋体"/>
          <w:kern w:val="0"/>
          <w:sz w:val="27"/>
          <w:szCs w:val="27"/>
          <w:u w:val="single"/>
        </w:rPr>
        <w:t xml:space="preserve"> 100 </w:t>
      </w:r>
      <w:r>
        <w:rPr>
          <w:rFonts w:hint="eastAsia" w:ascii="宋体" w:hAnsi="宋体" w:cs="宋体"/>
          <w:kern w:val="0"/>
          <w:sz w:val="27"/>
          <w:szCs w:val="27"/>
        </w:rPr>
        <w:t>%，变动原因：2022年经营结余做到年末结转和结余中，2023年做到结余分配中，年度收支平衡，未发生以前年度结余弥补收支情况。</w:t>
      </w:r>
    </w:p>
    <w:p w14:paraId="0FD69834">
      <w:pPr>
        <w:widowControl/>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二、收入决算情况说明</w:t>
      </w:r>
    </w:p>
    <w:p w14:paraId="3699B338">
      <w:pPr>
        <w:widowControl/>
        <w:rPr>
          <w:rFonts w:hint="eastAsia" w:ascii="宋体" w:hAnsi="宋体" w:cs="宋体"/>
          <w:kern w:val="0"/>
          <w:sz w:val="24"/>
        </w:rPr>
      </w:pPr>
      <w:r>
        <w:rPr>
          <w:rFonts w:ascii="fang_song_gb2312" w:hAnsi="fang_song_gb2312" w:eastAsia="fang_song_gb2312" w:cs="fang_song_gb2312"/>
          <w:kern w:val="0"/>
          <w:sz w:val="27"/>
          <w:szCs w:val="27"/>
        </w:rPr>
        <w:t xml:space="preserve">  </w:t>
      </w:r>
      <w:r>
        <w:rPr>
          <w:rFonts w:hint="eastAsia" w:ascii="宋体" w:hAnsi="宋体" w:cs="宋体"/>
          <w:kern w:val="0"/>
          <w:sz w:val="27"/>
          <w:szCs w:val="27"/>
        </w:rPr>
        <w:t>  内蒙古自治区特种设备检验研究院巴彦淖尔分院 2023年度本年收入决算合计</w:t>
      </w:r>
      <w:r>
        <w:rPr>
          <w:rFonts w:hint="eastAsia" w:ascii="宋体" w:hAnsi="宋体" w:cs="宋体"/>
          <w:kern w:val="0"/>
          <w:sz w:val="27"/>
          <w:szCs w:val="27"/>
          <w:u w:val="single"/>
        </w:rPr>
        <w:t xml:space="preserve"> 3,454.50</w:t>
      </w:r>
      <w:r>
        <w:rPr>
          <w:rFonts w:hint="eastAsia" w:ascii="宋体" w:hAnsi="宋体" w:cs="宋体"/>
          <w:kern w:val="0"/>
          <w:sz w:val="27"/>
          <w:szCs w:val="27"/>
        </w:rPr>
        <w:t>万元，其中：</w:t>
      </w:r>
    </w:p>
    <w:p w14:paraId="417D4B41">
      <w:pPr>
        <w:widowControl/>
        <w:rPr>
          <w:rFonts w:hint="eastAsia" w:ascii="宋体" w:hAnsi="宋体" w:cs="宋体"/>
          <w:kern w:val="0"/>
          <w:sz w:val="24"/>
        </w:rPr>
      </w:pPr>
      <w:r>
        <w:rPr>
          <w:rFonts w:hint="eastAsia" w:ascii="宋体" w:hAnsi="宋体" w:cs="宋体"/>
          <w:kern w:val="0"/>
          <w:sz w:val="27"/>
          <w:szCs w:val="27"/>
        </w:rPr>
        <w:t>    本年一般公共预算财政拨款收入</w:t>
      </w:r>
      <w:r>
        <w:rPr>
          <w:rFonts w:hint="eastAsia" w:ascii="宋体" w:hAnsi="宋体" w:cs="宋体"/>
          <w:kern w:val="0"/>
          <w:sz w:val="27"/>
          <w:szCs w:val="27"/>
          <w:u w:val="single"/>
        </w:rPr>
        <w:t xml:space="preserve"> 1,733.67</w:t>
      </w:r>
      <w:r>
        <w:rPr>
          <w:rFonts w:hint="eastAsia" w:ascii="宋体" w:hAnsi="宋体" w:cs="宋体"/>
          <w:kern w:val="0"/>
          <w:sz w:val="27"/>
          <w:szCs w:val="27"/>
        </w:rPr>
        <w:t>万元，占</w:t>
      </w:r>
      <w:r>
        <w:rPr>
          <w:rFonts w:hint="eastAsia" w:ascii="宋体" w:hAnsi="宋体" w:cs="宋体"/>
          <w:kern w:val="0"/>
          <w:sz w:val="27"/>
          <w:szCs w:val="27"/>
          <w:u w:val="single"/>
        </w:rPr>
        <w:t xml:space="preserve"> 50.19</w:t>
      </w:r>
      <w:r>
        <w:rPr>
          <w:rFonts w:hint="eastAsia" w:ascii="宋体" w:hAnsi="宋体" w:cs="宋体"/>
          <w:kern w:val="0"/>
          <w:sz w:val="27"/>
          <w:szCs w:val="27"/>
        </w:rPr>
        <w:t>%；</w:t>
      </w:r>
    </w:p>
    <w:p w14:paraId="7EBCC344">
      <w:pPr>
        <w:widowControl/>
        <w:rPr>
          <w:rFonts w:hint="eastAsia" w:ascii="宋体" w:hAnsi="宋体" w:cs="宋体"/>
          <w:kern w:val="0"/>
          <w:sz w:val="24"/>
        </w:rPr>
      </w:pPr>
      <w:r>
        <w:rPr>
          <w:rFonts w:hint="eastAsia" w:ascii="宋体" w:hAnsi="宋体" w:cs="宋体"/>
          <w:kern w:val="0"/>
          <w:sz w:val="27"/>
          <w:szCs w:val="27"/>
        </w:rPr>
        <w:t>    本年政府性基金预算财政拨款收入</w:t>
      </w:r>
      <w:r>
        <w:rPr>
          <w:rFonts w:hint="eastAsia" w:ascii="宋体" w:hAnsi="宋体" w:cs="宋体"/>
          <w:kern w:val="0"/>
          <w:sz w:val="27"/>
          <w:szCs w:val="27"/>
          <w:u w:val="single"/>
        </w:rPr>
        <w:t xml:space="preserve"> 0.00</w:t>
      </w:r>
      <w:r>
        <w:rPr>
          <w:rFonts w:hint="eastAsia" w:ascii="宋体" w:hAnsi="宋体" w:cs="宋体"/>
          <w:kern w:val="0"/>
          <w:sz w:val="27"/>
          <w:szCs w:val="27"/>
        </w:rPr>
        <w:t>万元，占</w:t>
      </w:r>
      <w:r>
        <w:rPr>
          <w:rFonts w:hint="eastAsia" w:ascii="宋体" w:hAnsi="宋体" w:cs="宋体"/>
          <w:kern w:val="0"/>
          <w:sz w:val="27"/>
          <w:szCs w:val="27"/>
          <w:u w:val="single"/>
        </w:rPr>
        <w:t xml:space="preserve"> 0.00</w:t>
      </w:r>
      <w:r>
        <w:rPr>
          <w:rFonts w:hint="eastAsia" w:ascii="宋体" w:hAnsi="宋体" w:cs="宋体"/>
          <w:kern w:val="0"/>
          <w:sz w:val="27"/>
          <w:szCs w:val="27"/>
        </w:rPr>
        <w:t>%；</w:t>
      </w:r>
    </w:p>
    <w:p w14:paraId="2A9C12EC">
      <w:pPr>
        <w:widowControl/>
        <w:rPr>
          <w:rFonts w:hint="eastAsia" w:ascii="宋体" w:hAnsi="宋体" w:cs="宋体"/>
          <w:kern w:val="0"/>
          <w:sz w:val="24"/>
        </w:rPr>
      </w:pPr>
      <w:r>
        <w:rPr>
          <w:rFonts w:hint="eastAsia" w:ascii="宋体" w:hAnsi="宋体" w:cs="宋体"/>
          <w:kern w:val="0"/>
          <w:sz w:val="27"/>
          <w:szCs w:val="27"/>
        </w:rPr>
        <w:t>    本年国有资本经营预算财政拨款收入</w:t>
      </w:r>
      <w:r>
        <w:rPr>
          <w:rFonts w:hint="eastAsia" w:ascii="宋体" w:hAnsi="宋体" w:cs="宋体"/>
          <w:kern w:val="0"/>
          <w:sz w:val="27"/>
          <w:szCs w:val="27"/>
          <w:u w:val="single"/>
        </w:rPr>
        <w:t xml:space="preserve"> 0.00</w:t>
      </w:r>
      <w:r>
        <w:rPr>
          <w:rFonts w:hint="eastAsia" w:ascii="宋体" w:hAnsi="宋体" w:cs="宋体"/>
          <w:kern w:val="0"/>
          <w:sz w:val="27"/>
          <w:szCs w:val="27"/>
        </w:rPr>
        <w:t>万元，占</w:t>
      </w:r>
      <w:r>
        <w:rPr>
          <w:rFonts w:hint="eastAsia" w:ascii="宋体" w:hAnsi="宋体" w:cs="宋体"/>
          <w:kern w:val="0"/>
          <w:sz w:val="27"/>
          <w:szCs w:val="27"/>
          <w:u w:val="single"/>
        </w:rPr>
        <w:t xml:space="preserve"> 0.00</w:t>
      </w:r>
      <w:r>
        <w:rPr>
          <w:rFonts w:hint="eastAsia" w:ascii="宋体" w:hAnsi="宋体" w:cs="宋体"/>
          <w:kern w:val="0"/>
          <w:sz w:val="27"/>
          <w:szCs w:val="27"/>
        </w:rPr>
        <w:t>%；</w:t>
      </w:r>
    </w:p>
    <w:p w14:paraId="408EAE18">
      <w:pPr>
        <w:widowControl/>
        <w:rPr>
          <w:rFonts w:hint="eastAsia" w:ascii="宋体" w:hAnsi="宋体" w:cs="宋体"/>
          <w:kern w:val="0"/>
          <w:sz w:val="24"/>
        </w:rPr>
      </w:pPr>
      <w:r>
        <w:rPr>
          <w:rFonts w:hint="eastAsia" w:ascii="宋体" w:hAnsi="宋体" w:cs="宋体"/>
          <w:kern w:val="0"/>
          <w:sz w:val="27"/>
          <w:szCs w:val="27"/>
        </w:rPr>
        <w:t>    本年上级补助收入</w:t>
      </w:r>
      <w:r>
        <w:rPr>
          <w:rFonts w:hint="eastAsia" w:ascii="宋体" w:hAnsi="宋体" w:cs="宋体"/>
          <w:kern w:val="0"/>
          <w:sz w:val="27"/>
          <w:szCs w:val="27"/>
          <w:u w:val="single"/>
        </w:rPr>
        <w:t xml:space="preserve"> 0.00</w:t>
      </w:r>
      <w:r>
        <w:rPr>
          <w:rFonts w:hint="eastAsia" w:ascii="宋体" w:hAnsi="宋体" w:cs="宋体"/>
          <w:kern w:val="0"/>
          <w:sz w:val="27"/>
          <w:szCs w:val="27"/>
        </w:rPr>
        <w:t>万元，占</w:t>
      </w:r>
      <w:r>
        <w:rPr>
          <w:rFonts w:hint="eastAsia" w:ascii="宋体" w:hAnsi="宋体" w:cs="宋体"/>
          <w:kern w:val="0"/>
          <w:sz w:val="27"/>
          <w:szCs w:val="27"/>
          <w:u w:val="single"/>
        </w:rPr>
        <w:t xml:space="preserve"> 0.00</w:t>
      </w:r>
      <w:r>
        <w:rPr>
          <w:rFonts w:hint="eastAsia" w:ascii="宋体" w:hAnsi="宋体" w:cs="宋体"/>
          <w:kern w:val="0"/>
          <w:sz w:val="27"/>
          <w:szCs w:val="27"/>
        </w:rPr>
        <w:t>%；</w:t>
      </w:r>
    </w:p>
    <w:p w14:paraId="3CB997B3">
      <w:pPr>
        <w:widowControl/>
        <w:rPr>
          <w:rFonts w:hint="eastAsia" w:ascii="宋体" w:hAnsi="宋体" w:cs="宋体"/>
          <w:kern w:val="0"/>
          <w:sz w:val="24"/>
        </w:rPr>
      </w:pPr>
      <w:r>
        <w:rPr>
          <w:rFonts w:hint="eastAsia" w:ascii="宋体" w:hAnsi="宋体" w:cs="宋体"/>
          <w:kern w:val="0"/>
          <w:sz w:val="27"/>
          <w:szCs w:val="27"/>
        </w:rPr>
        <w:t>    本年事业收入</w:t>
      </w:r>
      <w:r>
        <w:rPr>
          <w:rFonts w:hint="eastAsia" w:ascii="宋体" w:hAnsi="宋体" w:cs="宋体"/>
          <w:kern w:val="0"/>
          <w:sz w:val="27"/>
          <w:szCs w:val="27"/>
          <w:u w:val="single"/>
        </w:rPr>
        <w:t xml:space="preserve"> 0.00</w:t>
      </w:r>
      <w:r>
        <w:rPr>
          <w:rFonts w:hint="eastAsia" w:ascii="宋体" w:hAnsi="宋体" w:cs="宋体"/>
          <w:kern w:val="0"/>
          <w:sz w:val="27"/>
          <w:szCs w:val="27"/>
        </w:rPr>
        <w:t>万元，占</w:t>
      </w:r>
      <w:r>
        <w:rPr>
          <w:rFonts w:hint="eastAsia" w:ascii="宋体" w:hAnsi="宋体" w:cs="宋体"/>
          <w:kern w:val="0"/>
          <w:sz w:val="27"/>
          <w:szCs w:val="27"/>
          <w:u w:val="single"/>
        </w:rPr>
        <w:t xml:space="preserve"> 0.00</w:t>
      </w:r>
      <w:r>
        <w:rPr>
          <w:rFonts w:hint="eastAsia" w:ascii="宋体" w:hAnsi="宋体" w:cs="宋体"/>
          <w:kern w:val="0"/>
          <w:sz w:val="27"/>
          <w:szCs w:val="27"/>
        </w:rPr>
        <w:t>%；</w:t>
      </w:r>
    </w:p>
    <w:p w14:paraId="36FD84B8">
      <w:pPr>
        <w:widowControl/>
        <w:rPr>
          <w:rFonts w:hint="eastAsia" w:ascii="宋体" w:hAnsi="宋体" w:cs="宋体"/>
          <w:kern w:val="0"/>
          <w:sz w:val="24"/>
        </w:rPr>
      </w:pPr>
      <w:r>
        <w:rPr>
          <w:rFonts w:hint="eastAsia" w:ascii="宋体" w:hAnsi="宋体" w:cs="宋体"/>
          <w:kern w:val="0"/>
          <w:sz w:val="27"/>
          <w:szCs w:val="27"/>
        </w:rPr>
        <w:t>    本年经营收入</w:t>
      </w:r>
      <w:r>
        <w:rPr>
          <w:rFonts w:hint="eastAsia" w:ascii="宋体" w:hAnsi="宋体" w:cs="宋体"/>
          <w:kern w:val="0"/>
          <w:sz w:val="27"/>
          <w:szCs w:val="27"/>
          <w:u w:val="single"/>
        </w:rPr>
        <w:t xml:space="preserve"> 1,720.84</w:t>
      </w:r>
      <w:r>
        <w:rPr>
          <w:rFonts w:hint="eastAsia" w:ascii="宋体" w:hAnsi="宋体" w:cs="宋体"/>
          <w:kern w:val="0"/>
          <w:sz w:val="27"/>
          <w:szCs w:val="27"/>
        </w:rPr>
        <w:t>万元，占</w:t>
      </w:r>
      <w:r>
        <w:rPr>
          <w:rFonts w:hint="eastAsia" w:ascii="宋体" w:hAnsi="宋体" w:cs="宋体"/>
          <w:kern w:val="0"/>
          <w:sz w:val="27"/>
          <w:szCs w:val="27"/>
          <w:u w:val="single"/>
        </w:rPr>
        <w:t xml:space="preserve"> 49.81</w:t>
      </w:r>
      <w:r>
        <w:rPr>
          <w:rFonts w:hint="eastAsia" w:ascii="宋体" w:hAnsi="宋体" w:cs="宋体"/>
          <w:kern w:val="0"/>
          <w:sz w:val="27"/>
          <w:szCs w:val="27"/>
        </w:rPr>
        <w:t>%；</w:t>
      </w:r>
    </w:p>
    <w:p w14:paraId="36D966C1">
      <w:pPr>
        <w:widowControl/>
        <w:rPr>
          <w:rFonts w:eastAsia="Times New Roman"/>
          <w:kern w:val="0"/>
          <w:sz w:val="24"/>
        </w:rPr>
      </w:pPr>
      <w:r>
        <w:rPr>
          <w:rFonts w:hint="eastAsia" w:ascii="宋体" w:hAnsi="宋体" w:cs="宋体"/>
          <w:kern w:val="0"/>
          <w:sz w:val="27"/>
          <w:szCs w:val="27"/>
        </w:rPr>
        <w:t>    本年附属单位上缴收入</w:t>
      </w:r>
      <w:r>
        <w:rPr>
          <w:rFonts w:hint="eastAsia" w:ascii="宋体" w:hAnsi="宋体" w:cs="宋体"/>
          <w:kern w:val="0"/>
          <w:sz w:val="27"/>
          <w:szCs w:val="27"/>
          <w:u w:val="single"/>
        </w:rPr>
        <w:t xml:space="preserve"> 0.00</w:t>
      </w:r>
      <w:r>
        <w:rPr>
          <w:rFonts w:hint="eastAsia" w:ascii="宋体" w:hAnsi="宋体" w:cs="宋体"/>
          <w:kern w:val="0"/>
          <w:sz w:val="27"/>
          <w:szCs w:val="27"/>
        </w:rPr>
        <w:t>万元，占</w:t>
      </w:r>
      <w:r>
        <w:rPr>
          <w:rFonts w:hint="eastAsia" w:ascii="宋体" w:hAnsi="宋体" w:cs="宋体"/>
          <w:kern w:val="0"/>
          <w:sz w:val="27"/>
          <w:szCs w:val="27"/>
          <w:u w:val="single"/>
        </w:rPr>
        <w:t xml:space="preserve"> 0.00</w:t>
      </w:r>
      <w:r>
        <w:rPr>
          <w:rFonts w:hint="eastAsia" w:ascii="宋体" w:hAnsi="宋体" w:cs="宋体"/>
          <w:kern w:val="0"/>
          <w:sz w:val="27"/>
          <w:szCs w:val="27"/>
        </w:rPr>
        <w:t>%</w:t>
      </w:r>
      <w:r>
        <w:rPr>
          <w:rFonts w:ascii="fang_song_gb2312" w:hAnsi="fang_song_gb2312" w:eastAsia="fang_song_gb2312" w:cs="fang_song_gb2312"/>
          <w:kern w:val="0"/>
          <w:sz w:val="27"/>
          <w:szCs w:val="27"/>
        </w:rPr>
        <w:t>；</w:t>
      </w:r>
    </w:p>
    <w:p w14:paraId="4D47C0C5">
      <w:pPr>
        <w:widowControl/>
        <w:rPr>
          <w:rFonts w:eastAsia="Times New Roman"/>
          <w:kern w:val="0"/>
          <w:sz w:val="24"/>
        </w:rPr>
      </w:pPr>
      <w:r>
        <w:rPr>
          <w:rFonts w:ascii="fang_song_gb2312" w:hAnsi="fang_song_gb2312" w:eastAsia="fang_song_gb2312" w:cs="fang_song_gb2312"/>
          <w:kern w:val="0"/>
          <w:sz w:val="27"/>
          <w:szCs w:val="27"/>
        </w:rPr>
        <w:t xml:space="preserve">  </w:t>
      </w:r>
      <w:r>
        <w:rPr>
          <w:rFonts w:hint="eastAsia" w:ascii="宋体" w:hAnsi="宋体" w:cs="宋体"/>
          <w:kern w:val="0"/>
          <w:sz w:val="27"/>
          <w:szCs w:val="27"/>
        </w:rPr>
        <w:t>  本年其他收入</w:t>
      </w:r>
      <w:r>
        <w:rPr>
          <w:rFonts w:hint="eastAsia" w:ascii="宋体" w:hAnsi="宋体" w:cs="宋体"/>
          <w:kern w:val="0"/>
          <w:sz w:val="27"/>
          <w:szCs w:val="27"/>
          <w:u w:val="single"/>
        </w:rPr>
        <w:t xml:space="preserve"> 0.00</w:t>
      </w:r>
      <w:r>
        <w:rPr>
          <w:rFonts w:hint="eastAsia" w:ascii="宋体" w:hAnsi="宋体" w:cs="宋体"/>
          <w:kern w:val="0"/>
          <w:sz w:val="27"/>
          <w:szCs w:val="27"/>
        </w:rPr>
        <w:t>万元，占</w:t>
      </w:r>
      <w:r>
        <w:rPr>
          <w:rFonts w:hint="eastAsia" w:ascii="宋体" w:hAnsi="宋体" w:cs="宋体"/>
          <w:kern w:val="0"/>
          <w:sz w:val="27"/>
          <w:szCs w:val="27"/>
          <w:u w:val="single"/>
        </w:rPr>
        <w:t xml:space="preserve"> 0.00</w:t>
      </w:r>
      <w:r>
        <w:rPr>
          <w:rFonts w:hint="eastAsia" w:ascii="宋体" w:hAnsi="宋体" w:cs="宋体"/>
          <w:kern w:val="0"/>
          <w:sz w:val="27"/>
          <w:szCs w:val="27"/>
        </w:rPr>
        <w:t>%。</w:t>
      </w:r>
    </w:p>
    <w:p w14:paraId="54BB2A6B">
      <w:pPr>
        <w:widowControl/>
        <w:spacing w:before="240" w:after="240"/>
        <w:jc w:val="left"/>
        <w:rPr>
          <w:kern w:val="0"/>
          <w:sz w:val="24"/>
        </w:rPr>
      </w:pPr>
      <w:r>
        <w:rPr>
          <w:rFonts w:hint="eastAsia"/>
          <w:kern w:val="0"/>
          <w:sz w:val="24"/>
        </w:rPr>
        <w:drawing>
          <wp:inline distT="0" distB="0" distL="114300" distR="114300">
            <wp:extent cx="5647055" cy="3159760"/>
            <wp:effectExtent l="4445" t="4445" r="17780" b="571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B573772">
      <w:pPr>
        <w:widowControl/>
        <w:spacing w:before="240" w:after="240"/>
        <w:jc w:val="center"/>
        <w:rPr>
          <w:rFonts w:hint="eastAsia" w:ascii="宋体" w:hAnsi="宋体" w:cs="宋体"/>
          <w:kern w:val="0"/>
          <w:sz w:val="24"/>
        </w:rPr>
      </w:pPr>
      <w:r>
        <w:rPr>
          <w:rFonts w:hint="eastAsia" w:ascii="宋体" w:hAnsi="宋体" w:cs="宋体"/>
          <w:kern w:val="0"/>
          <w:sz w:val="27"/>
          <w:szCs w:val="27"/>
        </w:rPr>
        <w:t>图1.收入决算图</w:t>
      </w:r>
    </w:p>
    <w:p w14:paraId="4BF6CB75">
      <w:pPr>
        <w:widowControl/>
        <w:spacing w:before="240" w:after="240"/>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三、支出决算情况说明</w:t>
      </w:r>
    </w:p>
    <w:p w14:paraId="55E82670">
      <w:pPr>
        <w:widowControl/>
        <w:rPr>
          <w:rFonts w:hint="eastAsia" w:ascii="宋体" w:hAnsi="宋体" w:cs="宋体"/>
          <w:kern w:val="0"/>
          <w:sz w:val="24"/>
        </w:rPr>
      </w:pPr>
      <w:r>
        <w:rPr>
          <w:rFonts w:ascii="fang_song_gb2312" w:hAnsi="fang_song_gb2312" w:eastAsia="fang_song_gb2312" w:cs="fang_song_gb2312"/>
          <w:kern w:val="0"/>
          <w:sz w:val="27"/>
          <w:szCs w:val="27"/>
        </w:rPr>
        <w:t xml:space="preserve">  </w:t>
      </w:r>
      <w:r>
        <w:rPr>
          <w:rFonts w:hint="eastAsia" w:ascii="宋体" w:hAnsi="宋体" w:cs="宋体"/>
          <w:kern w:val="0"/>
          <w:sz w:val="27"/>
          <w:szCs w:val="27"/>
        </w:rPr>
        <w:t>  内蒙古自治区特种设备检验研究院巴彦淖尔分院 2023年度本年支出决算合计</w:t>
      </w:r>
      <w:r>
        <w:rPr>
          <w:rFonts w:hint="eastAsia" w:ascii="宋体" w:hAnsi="宋体" w:cs="宋体"/>
          <w:kern w:val="0"/>
          <w:sz w:val="27"/>
          <w:szCs w:val="27"/>
          <w:u w:val="single"/>
        </w:rPr>
        <w:t xml:space="preserve"> 2,762.33</w:t>
      </w:r>
      <w:r>
        <w:rPr>
          <w:rFonts w:hint="eastAsia" w:ascii="宋体" w:hAnsi="宋体" w:cs="宋体"/>
          <w:kern w:val="0"/>
          <w:sz w:val="27"/>
          <w:szCs w:val="27"/>
        </w:rPr>
        <w:t>万元，其中：</w:t>
      </w:r>
    </w:p>
    <w:p w14:paraId="461775D9">
      <w:pPr>
        <w:widowControl/>
        <w:rPr>
          <w:rFonts w:hint="eastAsia" w:ascii="宋体" w:hAnsi="宋体" w:cs="宋体"/>
          <w:kern w:val="0"/>
          <w:sz w:val="24"/>
        </w:rPr>
      </w:pPr>
      <w:r>
        <w:rPr>
          <w:rFonts w:hint="eastAsia" w:ascii="宋体" w:hAnsi="宋体" w:cs="宋体"/>
          <w:kern w:val="0"/>
          <w:sz w:val="27"/>
          <w:szCs w:val="27"/>
        </w:rPr>
        <w:t>    本年基本支出</w:t>
      </w:r>
      <w:r>
        <w:rPr>
          <w:rFonts w:hint="eastAsia" w:ascii="宋体" w:hAnsi="宋体" w:cs="宋体"/>
          <w:kern w:val="0"/>
          <w:sz w:val="27"/>
          <w:szCs w:val="27"/>
          <w:u w:val="single"/>
        </w:rPr>
        <w:t xml:space="preserve"> 1,280.27</w:t>
      </w:r>
      <w:r>
        <w:rPr>
          <w:rFonts w:hint="eastAsia" w:ascii="宋体" w:hAnsi="宋体" w:cs="宋体"/>
          <w:kern w:val="0"/>
          <w:sz w:val="27"/>
          <w:szCs w:val="27"/>
        </w:rPr>
        <w:t>万元，占</w:t>
      </w:r>
      <w:r>
        <w:rPr>
          <w:rFonts w:hint="eastAsia" w:ascii="宋体" w:hAnsi="宋体" w:cs="宋体"/>
          <w:kern w:val="0"/>
          <w:sz w:val="27"/>
          <w:szCs w:val="27"/>
          <w:u w:val="single"/>
        </w:rPr>
        <w:t xml:space="preserve"> 46.35</w:t>
      </w:r>
      <w:r>
        <w:rPr>
          <w:rFonts w:hint="eastAsia" w:ascii="宋体" w:hAnsi="宋体" w:cs="宋体"/>
          <w:kern w:val="0"/>
          <w:sz w:val="27"/>
          <w:szCs w:val="27"/>
        </w:rPr>
        <w:t>%；</w:t>
      </w:r>
    </w:p>
    <w:p w14:paraId="0D10D389">
      <w:pPr>
        <w:widowControl/>
        <w:rPr>
          <w:rFonts w:hint="eastAsia" w:ascii="宋体" w:hAnsi="宋体" w:cs="宋体"/>
          <w:kern w:val="0"/>
          <w:sz w:val="24"/>
        </w:rPr>
      </w:pPr>
      <w:r>
        <w:rPr>
          <w:rFonts w:hint="eastAsia" w:ascii="宋体" w:hAnsi="宋体" w:cs="宋体"/>
          <w:kern w:val="0"/>
          <w:sz w:val="27"/>
          <w:szCs w:val="27"/>
        </w:rPr>
        <w:t>    本年项目支出</w:t>
      </w:r>
      <w:r>
        <w:rPr>
          <w:rFonts w:hint="eastAsia" w:ascii="宋体" w:hAnsi="宋体" w:cs="宋体"/>
          <w:kern w:val="0"/>
          <w:sz w:val="27"/>
          <w:szCs w:val="27"/>
          <w:u w:val="single"/>
        </w:rPr>
        <w:t xml:space="preserve"> 453.40</w:t>
      </w:r>
      <w:r>
        <w:rPr>
          <w:rFonts w:hint="eastAsia" w:ascii="宋体" w:hAnsi="宋体" w:cs="宋体"/>
          <w:kern w:val="0"/>
          <w:sz w:val="27"/>
          <w:szCs w:val="27"/>
        </w:rPr>
        <w:t>万元，占</w:t>
      </w:r>
      <w:r>
        <w:rPr>
          <w:rFonts w:hint="eastAsia" w:ascii="宋体" w:hAnsi="宋体" w:cs="宋体"/>
          <w:kern w:val="0"/>
          <w:sz w:val="27"/>
          <w:szCs w:val="27"/>
          <w:u w:val="single"/>
        </w:rPr>
        <w:t xml:space="preserve"> 16.41</w:t>
      </w:r>
      <w:r>
        <w:rPr>
          <w:rFonts w:hint="eastAsia" w:ascii="宋体" w:hAnsi="宋体" w:cs="宋体"/>
          <w:kern w:val="0"/>
          <w:sz w:val="27"/>
          <w:szCs w:val="27"/>
        </w:rPr>
        <w:t>%；</w:t>
      </w:r>
    </w:p>
    <w:p w14:paraId="598FF01B">
      <w:pPr>
        <w:widowControl/>
        <w:rPr>
          <w:rFonts w:hint="eastAsia" w:ascii="宋体" w:hAnsi="宋体" w:cs="宋体"/>
          <w:kern w:val="0"/>
          <w:sz w:val="24"/>
        </w:rPr>
      </w:pPr>
      <w:r>
        <w:rPr>
          <w:rFonts w:hint="eastAsia" w:ascii="宋体" w:hAnsi="宋体" w:cs="宋体"/>
          <w:kern w:val="0"/>
          <w:sz w:val="27"/>
          <w:szCs w:val="27"/>
        </w:rPr>
        <w:t>    本年上缴上级支出</w:t>
      </w:r>
      <w:r>
        <w:rPr>
          <w:rFonts w:hint="eastAsia" w:ascii="宋体" w:hAnsi="宋体" w:cs="宋体"/>
          <w:kern w:val="0"/>
          <w:sz w:val="27"/>
          <w:szCs w:val="27"/>
          <w:u w:val="single"/>
        </w:rPr>
        <w:t xml:space="preserve"> 0.00</w:t>
      </w:r>
      <w:r>
        <w:rPr>
          <w:rFonts w:hint="eastAsia" w:ascii="宋体" w:hAnsi="宋体" w:cs="宋体"/>
          <w:kern w:val="0"/>
          <w:sz w:val="27"/>
          <w:szCs w:val="27"/>
        </w:rPr>
        <w:t>万元，占</w:t>
      </w:r>
      <w:r>
        <w:rPr>
          <w:rFonts w:hint="eastAsia" w:ascii="宋体" w:hAnsi="宋体" w:cs="宋体"/>
          <w:kern w:val="0"/>
          <w:sz w:val="27"/>
          <w:szCs w:val="27"/>
          <w:u w:val="single"/>
        </w:rPr>
        <w:t xml:space="preserve"> 0.00</w:t>
      </w:r>
      <w:r>
        <w:rPr>
          <w:rFonts w:hint="eastAsia" w:ascii="宋体" w:hAnsi="宋体" w:cs="宋体"/>
          <w:kern w:val="0"/>
          <w:sz w:val="27"/>
          <w:szCs w:val="27"/>
        </w:rPr>
        <w:t>%；</w:t>
      </w:r>
    </w:p>
    <w:p w14:paraId="01FB24A3">
      <w:pPr>
        <w:widowControl/>
        <w:rPr>
          <w:rFonts w:hint="eastAsia" w:ascii="宋体" w:hAnsi="宋体" w:cs="宋体"/>
          <w:kern w:val="0"/>
          <w:sz w:val="24"/>
        </w:rPr>
      </w:pPr>
      <w:r>
        <w:rPr>
          <w:rFonts w:hint="eastAsia" w:ascii="宋体" w:hAnsi="宋体" w:cs="宋体"/>
          <w:kern w:val="0"/>
          <w:sz w:val="27"/>
          <w:szCs w:val="27"/>
        </w:rPr>
        <w:t>    本年经营支出</w:t>
      </w:r>
      <w:r>
        <w:rPr>
          <w:rFonts w:hint="eastAsia" w:ascii="宋体" w:hAnsi="宋体" w:cs="宋体"/>
          <w:kern w:val="0"/>
          <w:sz w:val="27"/>
          <w:szCs w:val="27"/>
          <w:u w:val="single"/>
        </w:rPr>
        <w:t xml:space="preserve"> 1,028.66</w:t>
      </w:r>
      <w:r>
        <w:rPr>
          <w:rFonts w:hint="eastAsia" w:ascii="宋体" w:hAnsi="宋体" w:cs="宋体"/>
          <w:kern w:val="0"/>
          <w:sz w:val="27"/>
          <w:szCs w:val="27"/>
        </w:rPr>
        <w:t>万元，占</w:t>
      </w:r>
      <w:r>
        <w:rPr>
          <w:rFonts w:hint="eastAsia" w:ascii="宋体" w:hAnsi="宋体" w:cs="宋体"/>
          <w:kern w:val="0"/>
          <w:sz w:val="27"/>
          <w:szCs w:val="27"/>
          <w:u w:val="single"/>
        </w:rPr>
        <w:t xml:space="preserve"> 37.24</w:t>
      </w:r>
      <w:r>
        <w:rPr>
          <w:rFonts w:hint="eastAsia" w:ascii="宋体" w:hAnsi="宋体" w:cs="宋体"/>
          <w:kern w:val="0"/>
          <w:sz w:val="27"/>
          <w:szCs w:val="27"/>
        </w:rPr>
        <w:t>%；</w:t>
      </w:r>
    </w:p>
    <w:p w14:paraId="1AB9391D">
      <w:pPr>
        <w:widowControl/>
        <w:rPr>
          <w:rFonts w:hint="eastAsia" w:ascii="宋体" w:hAnsi="宋体" w:cs="宋体"/>
          <w:kern w:val="0"/>
          <w:sz w:val="24"/>
        </w:rPr>
      </w:pPr>
      <w:r>
        <w:rPr>
          <w:rFonts w:hint="eastAsia" w:ascii="宋体" w:hAnsi="宋体" w:cs="宋体"/>
          <w:kern w:val="0"/>
          <w:sz w:val="27"/>
          <w:szCs w:val="27"/>
        </w:rPr>
        <w:t>    本年对附属单位补助支出</w:t>
      </w:r>
      <w:r>
        <w:rPr>
          <w:rFonts w:hint="eastAsia" w:ascii="宋体" w:hAnsi="宋体" w:cs="宋体"/>
          <w:kern w:val="0"/>
          <w:sz w:val="27"/>
          <w:szCs w:val="27"/>
          <w:u w:val="single"/>
        </w:rPr>
        <w:t xml:space="preserve"> 0.00</w:t>
      </w:r>
      <w:r>
        <w:rPr>
          <w:rFonts w:hint="eastAsia" w:ascii="宋体" w:hAnsi="宋体" w:cs="宋体"/>
          <w:kern w:val="0"/>
          <w:sz w:val="27"/>
          <w:szCs w:val="27"/>
        </w:rPr>
        <w:t>万元，占</w:t>
      </w:r>
      <w:r>
        <w:rPr>
          <w:rFonts w:hint="eastAsia" w:ascii="宋体" w:hAnsi="宋体" w:cs="宋体"/>
          <w:kern w:val="0"/>
          <w:sz w:val="27"/>
          <w:szCs w:val="27"/>
          <w:u w:val="single"/>
        </w:rPr>
        <w:t xml:space="preserve"> 0.00</w:t>
      </w:r>
      <w:r>
        <w:rPr>
          <w:rFonts w:hint="eastAsia" w:ascii="宋体" w:hAnsi="宋体" w:cs="宋体"/>
          <w:kern w:val="0"/>
          <w:sz w:val="27"/>
          <w:szCs w:val="27"/>
        </w:rPr>
        <w:t>%。</w:t>
      </w:r>
    </w:p>
    <w:p w14:paraId="4ED0D458">
      <w:pPr>
        <w:widowControl/>
        <w:spacing w:before="240" w:after="240"/>
        <w:rPr>
          <w:rFonts w:eastAsia="Times New Roman"/>
          <w:kern w:val="0"/>
          <w:sz w:val="24"/>
        </w:rPr>
      </w:pPr>
      <w:r>
        <w:rPr>
          <w:rFonts w:ascii="fang_song_gb2312" w:hAnsi="fang_song_gb2312" w:eastAsia="fang_song_gb2312" w:cs="fang_song_gb2312"/>
          <w:color w:val="0E00FE"/>
          <w:kern w:val="0"/>
          <w:sz w:val="27"/>
          <w:szCs w:val="27"/>
        </w:rPr>
        <w:t xml:space="preserve">  </w:t>
      </w:r>
    </w:p>
    <w:p w14:paraId="3C6F1766">
      <w:pPr>
        <w:widowControl/>
        <w:spacing w:before="240" w:after="240"/>
        <w:jc w:val="left"/>
        <w:rPr>
          <w:kern w:val="0"/>
          <w:sz w:val="24"/>
        </w:rPr>
      </w:pPr>
      <w:r>
        <w:rPr>
          <w:rFonts w:hint="eastAsia"/>
          <w:kern w:val="0"/>
          <w:sz w:val="24"/>
        </w:rPr>
        <w:drawing>
          <wp:inline distT="0" distB="0" distL="114300" distR="114300">
            <wp:extent cx="5599430" cy="3073400"/>
            <wp:effectExtent l="4445" t="4445" r="19685" b="1587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CE17F52">
      <w:pPr>
        <w:widowControl/>
        <w:spacing w:before="240" w:after="240"/>
        <w:jc w:val="center"/>
        <w:rPr>
          <w:rFonts w:eastAsia="Times New Roman"/>
          <w:kern w:val="0"/>
          <w:sz w:val="24"/>
        </w:rPr>
      </w:pPr>
      <w:r>
        <w:rPr>
          <w:rFonts w:hint="eastAsia" w:ascii="宋体" w:hAnsi="宋体" w:cs="宋体"/>
          <w:kern w:val="0"/>
          <w:sz w:val="27"/>
          <w:szCs w:val="27"/>
        </w:rPr>
        <w:t>图2.支出决算图</w:t>
      </w:r>
    </w:p>
    <w:p w14:paraId="41DE2968">
      <w:pPr>
        <w:widowControl/>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四、财政拨款收入支出决算总体情况说明</w:t>
      </w:r>
    </w:p>
    <w:p w14:paraId="02E7529A">
      <w:pPr>
        <w:widowControl/>
        <w:rPr>
          <w:rFonts w:hint="eastAsia" w:ascii="宋体" w:hAnsi="宋体" w:cs="宋体"/>
          <w:kern w:val="0"/>
          <w:sz w:val="24"/>
        </w:rPr>
      </w:pPr>
      <w:r>
        <w:rPr>
          <w:rFonts w:ascii="fang_song_gb2312" w:hAnsi="fang_song_gb2312" w:eastAsia="fang_song_gb2312" w:cs="fang_song_gb2312"/>
          <w:kern w:val="0"/>
          <w:sz w:val="27"/>
          <w:szCs w:val="27"/>
        </w:rPr>
        <w:t>   </w:t>
      </w:r>
      <w:r>
        <w:rPr>
          <w:rFonts w:hint="eastAsia" w:ascii="宋体" w:hAnsi="宋体" w:cs="宋体"/>
          <w:kern w:val="0"/>
          <w:sz w:val="27"/>
          <w:szCs w:val="27"/>
        </w:rPr>
        <w:t xml:space="preserve"> 内蒙古自治区特种设备检验研究院巴彦淖尔分院 2023年度财政拨款收入、支出决算总计</w:t>
      </w:r>
      <w:r>
        <w:rPr>
          <w:rFonts w:hint="eastAsia" w:ascii="宋体" w:hAnsi="宋体" w:cs="宋体"/>
          <w:kern w:val="0"/>
          <w:sz w:val="27"/>
          <w:szCs w:val="27"/>
          <w:u w:val="single"/>
        </w:rPr>
        <w:t xml:space="preserve"> 1,733.67</w:t>
      </w:r>
      <w:r>
        <w:rPr>
          <w:rFonts w:hint="eastAsia" w:ascii="宋体" w:hAnsi="宋体" w:cs="宋体"/>
          <w:kern w:val="0"/>
          <w:sz w:val="27"/>
          <w:szCs w:val="27"/>
        </w:rPr>
        <w:t>万元，与年初预算相比，收、支总计各减少</w:t>
      </w:r>
      <w:r>
        <w:rPr>
          <w:rFonts w:hint="eastAsia" w:ascii="宋体" w:hAnsi="宋体" w:cs="宋体"/>
          <w:kern w:val="0"/>
          <w:sz w:val="27"/>
          <w:szCs w:val="27"/>
          <w:u w:val="single"/>
        </w:rPr>
        <w:t>0.11</w:t>
      </w:r>
      <w:r>
        <w:rPr>
          <w:rFonts w:hint="eastAsia" w:ascii="宋体" w:hAnsi="宋体" w:cs="宋体"/>
          <w:kern w:val="0"/>
          <w:sz w:val="27"/>
          <w:szCs w:val="27"/>
        </w:rPr>
        <w:t>万元，减少</w:t>
      </w:r>
      <w:r>
        <w:rPr>
          <w:rFonts w:hint="eastAsia" w:ascii="宋体" w:hAnsi="宋体" w:cs="宋体"/>
          <w:kern w:val="0"/>
          <w:sz w:val="27"/>
          <w:szCs w:val="27"/>
          <w:u w:val="single"/>
        </w:rPr>
        <w:t>0.01</w:t>
      </w:r>
      <w:r>
        <w:rPr>
          <w:rFonts w:hint="eastAsia" w:ascii="宋体" w:hAnsi="宋体" w:cs="宋体"/>
          <w:kern w:val="0"/>
          <w:sz w:val="27"/>
          <w:szCs w:val="27"/>
        </w:rPr>
        <w:t>%，变动原因：一般公共预算财政拨款收入减少</w:t>
      </w:r>
      <w:r>
        <w:rPr>
          <w:rFonts w:hint="eastAsia" w:ascii="宋体" w:hAnsi="宋体" w:cs="宋体"/>
          <w:kern w:val="0"/>
          <w:sz w:val="27"/>
          <w:szCs w:val="27"/>
          <w:u w:val="single"/>
        </w:rPr>
        <w:t>0.11</w:t>
      </w:r>
      <w:r>
        <w:rPr>
          <w:rFonts w:hint="eastAsia" w:ascii="宋体" w:hAnsi="宋体" w:cs="宋体"/>
          <w:kern w:val="0"/>
          <w:sz w:val="27"/>
          <w:szCs w:val="27"/>
        </w:rPr>
        <w:t>万元；与上年决算相比，收、支总计各增加</w:t>
      </w:r>
      <w:r>
        <w:rPr>
          <w:rFonts w:hint="eastAsia" w:ascii="宋体" w:hAnsi="宋体" w:cs="宋体"/>
          <w:kern w:val="0"/>
          <w:sz w:val="27"/>
          <w:szCs w:val="27"/>
          <w:u w:val="single"/>
        </w:rPr>
        <w:t xml:space="preserve"> 89.14</w:t>
      </w:r>
      <w:r>
        <w:rPr>
          <w:rFonts w:hint="eastAsia" w:ascii="宋体" w:hAnsi="宋体" w:cs="宋体"/>
          <w:kern w:val="0"/>
          <w:sz w:val="27"/>
          <w:szCs w:val="27"/>
        </w:rPr>
        <w:t>万元，增长</w:t>
      </w:r>
      <w:r>
        <w:rPr>
          <w:rFonts w:hint="eastAsia" w:ascii="宋体" w:hAnsi="宋体" w:cs="宋体"/>
          <w:kern w:val="0"/>
          <w:sz w:val="27"/>
          <w:szCs w:val="27"/>
          <w:u w:val="single"/>
        </w:rPr>
        <w:t xml:space="preserve"> 5.42</w:t>
      </w:r>
      <w:r>
        <w:rPr>
          <w:rFonts w:hint="eastAsia" w:ascii="宋体" w:hAnsi="宋体" w:cs="宋体"/>
          <w:kern w:val="0"/>
          <w:sz w:val="27"/>
          <w:szCs w:val="27"/>
        </w:rPr>
        <w:t>%，变动原因：一般公共预算财政拨款增加</w:t>
      </w:r>
      <w:r>
        <w:rPr>
          <w:rFonts w:hint="eastAsia" w:ascii="宋体" w:hAnsi="宋体" w:cs="宋体"/>
          <w:kern w:val="0"/>
          <w:sz w:val="27"/>
          <w:szCs w:val="27"/>
          <w:u w:val="single"/>
        </w:rPr>
        <w:t>89.14</w:t>
      </w:r>
      <w:r>
        <w:rPr>
          <w:rFonts w:hint="eastAsia" w:ascii="宋体" w:hAnsi="宋体" w:cs="宋体"/>
          <w:kern w:val="0"/>
          <w:sz w:val="27"/>
          <w:szCs w:val="27"/>
        </w:rPr>
        <w:t>万元，由于工资自然增长，检验任务增加等原因，追加了人员及商品服务支出等相关经费。</w:t>
      </w:r>
    </w:p>
    <w:p w14:paraId="7F588CEC">
      <w:pPr>
        <w:widowControl/>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五、一般公共预算财政拨款支出决算情况说明</w:t>
      </w:r>
    </w:p>
    <w:p w14:paraId="032335AC">
      <w:pPr>
        <w:widowControl/>
        <w:ind w:firstLine="655"/>
        <w:rPr>
          <w:rFonts w:hint="eastAsia" w:ascii="宋体" w:hAnsi="宋体" w:cs="宋体"/>
          <w:kern w:val="0"/>
          <w:sz w:val="27"/>
          <w:szCs w:val="27"/>
        </w:rPr>
      </w:pPr>
      <w:r>
        <w:rPr>
          <w:rFonts w:hint="eastAsia" w:ascii="宋体" w:hAnsi="宋体" w:cs="宋体"/>
          <w:kern w:val="0"/>
          <w:sz w:val="27"/>
          <w:szCs w:val="27"/>
        </w:rPr>
        <w:t>内蒙古自治区特种设备检验研究院巴彦淖尔分院 2023年度一般公共预算财政拨款支出决算</w:t>
      </w:r>
      <w:r>
        <w:rPr>
          <w:rFonts w:hint="eastAsia" w:ascii="宋体" w:hAnsi="宋体" w:cs="宋体"/>
          <w:kern w:val="0"/>
          <w:sz w:val="27"/>
          <w:szCs w:val="27"/>
          <w:u w:val="single"/>
        </w:rPr>
        <w:t xml:space="preserve"> 1733.67</w:t>
      </w:r>
      <w:r>
        <w:rPr>
          <w:rFonts w:hint="eastAsia" w:ascii="宋体" w:hAnsi="宋体" w:cs="宋体"/>
          <w:kern w:val="0"/>
          <w:sz w:val="27"/>
          <w:szCs w:val="27"/>
        </w:rPr>
        <w:t>万元。与年初预算</w:t>
      </w:r>
      <w:r>
        <w:rPr>
          <w:rFonts w:hint="eastAsia" w:ascii="宋体" w:hAnsi="宋体" w:cs="宋体"/>
          <w:kern w:val="0"/>
          <w:sz w:val="27"/>
          <w:szCs w:val="27"/>
          <w:u w:val="single"/>
        </w:rPr>
        <w:t xml:space="preserve"> 1733.78</w:t>
      </w:r>
      <w:r>
        <w:rPr>
          <w:rFonts w:hint="eastAsia" w:ascii="宋体" w:hAnsi="宋体" w:cs="宋体"/>
          <w:kern w:val="0"/>
          <w:sz w:val="27"/>
          <w:szCs w:val="27"/>
        </w:rPr>
        <w:t>万元相比，完成年初预算的</w:t>
      </w:r>
      <w:r>
        <w:rPr>
          <w:rFonts w:hint="eastAsia" w:ascii="宋体" w:hAnsi="宋体" w:cs="宋体"/>
          <w:kern w:val="0"/>
          <w:sz w:val="27"/>
          <w:szCs w:val="27"/>
          <w:u w:val="single"/>
        </w:rPr>
        <w:t xml:space="preserve"> 99.99</w:t>
      </w:r>
      <w:r>
        <w:rPr>
          <w:rFonts w:hint="eastAsia" w:ascii="宋体" w:hAnsi="宋体" w:cs="宋体"/>
          <w:kern w:val="0"/>
          <w:sz w:val="27"/>
          <w:szCs w:val="27"/>
        </w:rPr>
        <w:t>%。其中：</w:t>
      </w:r>
    </w:p>
    <w:p w14:paraId="78CEBC4E">
      <w:pPr>
        <w:widowControl/>
        <w:ind w:firstLine="655"/>
        <w:rPr>
          <w:rFonts w:hint="eastAsia" w:ascii="宋体" w:hAnsi="宋体" w:cs="宋体"/>
          <w:kern w:val="0"/>
          <w:sz w:val="27"/>
          <w:szCs w:val="27"/>
        </w:rPr>
      </w:pPr>
    </w:p>
    <w:p w14:paraId="2E1AFEB7">
      <w:pPr>
        <w:widowControl/>
        <w:jc w:val="left"/>
        <w:rPr>
          <w:rFonts w:eastAsia="Times New Roman"/>
          <w:kern w:val="0"/>
          <w:sz w:val="24"/>
        </w:rPr>
      </w:pPr>
      <w:r>
        <w:rPr>
          <w:rFonts w:ascii="kai_ti_gb2312" w:hAnsi="kai_ti_gb2312" w:eastAsia="kai_ti_gb2312" w:cs="kai_ti_gb2312"/>
          <w:b/>
          <w:bCs/>
          <w:kern w:val="0"/>
          <w:sz w:val="27"/>
          <w:szCs w:val="27"/>
        </w:rPr>
        <w:t>    （一）一般公共服务（类）</w:t>
      </w:r>
    </w:p>
    <w:p w14:paraId="5CAA7F21">
      <w:pPr>
        <w:widowControl/>
        <w:rPr>
          <w:rFonts w:hint="eastAsia" w:ascii="宋体" w:hAnsi="宋体" w:cs="宋体"/>
          <w:kern w:val="0"/>
          <w:sz w:val="24"/>
        </w:rPr>
      </w:pPr>
      <w:r>
        <w:rPr>
          <w:rFonts w:ascii="fang_song_gb2312" w:hAnsi="fang_song_gb2312" w:eastAsia="fang_song_gb2312" w:cs="fang_song_gb2312"/>
          <w:kern w:val="0"/>
          <w:sz w:val="27"/>
          <w:szCs w:val="27"/>
        </w:rPr>
        <w:t>   </w:t>
      </w:r>
      <w:r>
        <w:rPr>
          <w:rFonts w:hint="eastAsia" w:ascii="宋体" w:hAnsi="宋体" w:cs="宋体"/>
          <w:kern w:val="0"/>
          <w:sz w:val="27"/>
          <w:szCs w:val="27"/>
        </w:rPr>
        <w:t xml:space="preserve"> 一般公共服务类决算数为</w:t>
      </w:r>
      <w:r>
        <w:rPr>
          <w:rFonts w:hint="eastAsia" w:ascii="宋体" w:hAnsi="宋体" w:cs="宋体"/>
          <w:kern w:val="0"/>
          <w:sz w:val="27"/>
          <w:szCs w:val="27"/>
          <w:u w:val="single"/>
        </w:rPr>
        <w:t xml:space="preserve"> 1,621.77</w:t>
      </w:r>
      <w:r>
        <w:rPr>
          <w:rFonts w:hint="eastAsia" w:ascii="宋体" w:hAnsi="宋体" w:cs="宋体"/>
          <w:kern w:val="0"/>
          <w:sz w:val="27"/>
          <w:szCs w:val="27"/>
        </w:rPr>
        <w:t>万元，与年初预算相比减少</w:t>
      </w:r>
      <w:r>
        <w:rPr>
          <w:rFonts w:hint="eastAsia" w:ascii="宋体" w:hAnsi="宋体" w:cs="宋体"/>
          <w:kern w:val="0"/>
          <w:sz w:val="27"/>
          <w:szCs w:val="27"/>
          <w:u w:val="single"/>
        </w:rPr>
        <w:t>0.11</w:t>
      </w:r>
      <w:r>
        <w:rPr>
          <w:rFonts w:hint="eastAsia" w:ascii="宋体" w:hAnsi="宋体" w:cs="宋体"/>
          <w:kern w:val="0"/>
          <w:sz w:val="27"/>
          <w:szCs w:val="27"/>
        </w:rPr>
        <w:t>万元。其中：</w:t>
      </w:r>
    </w:p>
    <w:p w14:paraId="13DC0E3A">
      <w:pPr>
        <w:widowControl/>
        <w:rPr>
          <w:rFonts w:hint="eastAsia" w:ascii="宋体" w:hAnsi="宋体" w:cs="宋体"/>
          <w:kern w:val="0"/>
          <w:sz w:val="24"/>
        </w:rPr>
      </w:pPr>
      <w:r>
        <w:rPr>
          <w:rFonts w:hint="eastAsia" w:ascii="宋体" w:hAnsi="宋体" w:cs="宋体"/>
          <w:kern w:val="0"/>
          <w:sz w:val="27"/>
          <w:szCs w:val="27"/>
        </w:rPr>
        <w:t>   1．市场监督管理事务（款）质量安全监管（项）。年初预算</w:t>
      </w:r>
      <w:r>
        <w:rPr>
          <w:rFonts w:hint="eastAsia" w:ascii="宋体" w:hAnsi="宋体" w:cs="宋体"/>
          <w:kern w:val="0"/>
          <w:sz w:val="27"/>
          <w:szCs w:val="27"/>
          <w:u w:val="single"/>
        </w:rPr>
        <w:t>457.8</w:t>
      </w:r>
      <w:r>
        <w:rPr>
          <w:rFonts w:hint="eastAsia" w:ascii="宋体" w:hAnsi="宋体" w:cs="宋体"/>
          <w:kern w:val="0"/>
          <w:sz w:val="27"/>
          <w:szCs w:val="27"/>
        </w:rPr>
        <w:t>万元，支出决算</w:t>
      </w:r>
      <w:r>
        <w:rPr>
          <w:rFonts w:hint="eastAsia" w:ascii="宋体" w:hAnsi="宋体" w:cs="宋体"/>
          <w:kern w:val="0"/>
          <w:sz w:val="27"/>
          <w:szCs w:val="27"/>
          <w:u w:val="single"/>
        </w:rPr>
        <w:t>453.4</w:t>
      </w:r>
      <w:r>
        <w:rPr>
          <w:rFonts w:hint="eastAsia" w:ascii="宋体" w:hAnsi="宋体" w:cs="宋体"/>
          <w:kern w:val="0"/>
          <w:sz w:val="27"/>
          <w:szCs w:val="27"/>
        </w:rPr>
        <w:t>万元，完成年初预算的</w:t>
      </w:r>
      <w:r>
        <w:rPr>
          <w:rFonts w:hint="eastAsia" w:ascii="宋体" w:hAnsi="宋体" w:cs="宋体"/>
          <w:kern w:val="0"/>
          <w:sz w:val="27"/>
          <w:szCs w:val="27"/>
          <w:u w:val="single"/>
        </w:rPr>
        <w:t>99.01</w:t>
      </w:r>
      <w:r>
        <w:rPr>
          <w:rFonts w:hint="eastAsia" w:ascii="宋体" w:hAnsi="宋体" w:cs="宋体"/>
          <w:kern w:val="0"/>
          <w:sz w:val="27"/>
          <w:szCs w:val="27"/>
        </w:rPr>
        <w:t>%。决算数与年初预算数的差异原因：年中依据财政厅文件追加人员工资调整支出经费。</w:t>
      </w:r>
    </w:p>
    <w:p w14:paraId="7C1A767F">
      <w:pPr>
        <w:widowControl/>
        <w:ind w:firstLine="540" w:firstLineChars="200"/>
        <w:rPr>
          <w:rFonts w:hint="eastAsia" w:ascii="宋体" w:hAnsi="宋体" w:cs="宋体"/>
          <w:kern w:val="0"/>
          <w:sz w:val="27"/>
          <w:szCs w:val="27"/>
        </w:rPr>
      </w:pPr>
      <w:r>
        <w:rPr>
          <w:rFonts w:hint="eastAsia" w:ascii="宋体" w:hAnsi="宋体" w:cs="宋体"/>
          <w:kern w:val="0"/>
          <w:sz w:val="27"/>
          <w:szCs w:val="27"/>
        </w:rPr>
        <w:t>2．市场监督管理事务（款）事业运行（项）。年初预算</w:t>
      </w:r>
      <w:r>
        <w:rPr>
          <w:rFonts w:hint="eastAsia" w:ascii="宋体" w:hAnsi="宋体" w:cs="宋体"/>
          <w:kern w:val="0"/>
          <w:sz w:val="27"/>
          <w:szCs w:val="27"/>
          <w:u w:val="single"/>
        </w:rPr>
        <w:t>671.12</w:t>
      </w:r>
      <w:r>
        <w:rPr>
          <w:rFonts w:hint="eastAsia" w:ascii="宋体" w:hAnsi="宋体" w:cs="宋体"/>
          <w:kern w:val="0"/>
          <w:sz w:val="27"/>
          <w:szCs w:val="27"/>
        </w:rPr>
        <w:t>万元，支出决算</w:t>
      </w:r>
      <w:r>
        <w:rPr>
          <w:rFonts w:hint="eastAsia" w:ascii="宋体" w:hAnsi="宋体" w:cs="宋体"/>
          <w:kern w:val="0"/>
          <w:sz w:val="27"/>
          <w:szCs w:val="27"/>
          <w:u w:val="single"/>
        </w:rPr>
        <w:t>671.12</w:t>
      </w:r>
      <w:r>
        <w:rPr>
          <w:rFonts w:hint="eastAsia" w:ascii="宋体" w:hAnsi="宋体" w:cs="宋体"/>
          <w:kern w:val="0"/>
          <w:sz w:val="27"/>
          <w:szCs w:val="27"/>
        </w:rPr>
        <w:t>万元，完成年初预算的</w:t>
      </w:r>
      <w:r>
        <w:rPr>
          <w:rFonts w:hint="eastAsia" w:ascii="宋体" w:hAnsi="宋体" w:cs="宋体"/>
          <w:kern w:val="0"/>
          <w:sz w:val="27"/>
          <w:szCs w:val="27"/>
          <w:u w:val="single"/>
        </w:rPr>
        <w:t>100</w:t>
      </w:r>
      <w:r>
        <w:rPr>
          <w:rFonts w:hint="eastAsia" w:ascii="宋体" w:hAnsi="宋体" w:cs="宋体"/>
          <w:kern w:val="0"/>
          <w:sz w:val="27"/>
          <w:szCs w:val="27"/>
        </w:rPr>
        <w:t>%。决算数与年初预算数的差异原因：无差异。</w:t>
      </w:r>
    </w:p>
    <w:p w14:paraId="1E40E584">
      <w:pPr>
        <w:widowControl/>
        <w:ind w:firstLine="540" w:firstLineChars="200"/>
        <w:rPr>
          <w:rFonts w:hint="eastAsia" w:ascii="宋体" w:hAnsi="宋体" w:cs="宋体"/>
          <w:kern w:val="0"/>
          <w:sz w:val="24"/>
        </w:rPr>
      </w:pPr>
      <w:r>
        <w:rPr>
          <w:rFonts w:hint="eastAsia" w:ascii="宋体" w:hAnsi="宋体" w:cs="宋体"/>
          <w:kern w:val="0"/>
          <w:sz w:val="27"/>
          <w:szCs w:val="27"/>
        </w:rPr>
        <w:t>3. 市场监督管理事务（款）其他市场监督管理事务（项）。年初预算</w:t>
      </w:r>
      <w:r>
        <w:rPr>
          <w:rFonts w:hint="eastAsia" w:ascii="宋体" w:hAnsi="宋体" w:cs="宋体"/>
          <w:kern w:val="0"/>
          <w:sz w:val="27"/>
          <w:szCs w:val="27"/>
          <w:u w:val="single"/>
        </w:rPr>
        <w:t>492.96</w:t>
      </w:r>
      <w:r>
        <w:rPr>
          <w:rFonts w:hint="eastAsia" w:ascii="宋体" w:hAnsi="宋体" w:cs="宋体"/>
          <w:kern w:val="0"/>
          <w:sz w:val="27"/>
          <w:szCs w:val="27"/>
        </w:rPr>
        <w:t>万元，支出决算</w:t>
      </w:r>
      <w:r>
        <w:rPr>
          <w:rFonts w:hint="eastAsia" w:ascii="宋体" w:hAnsi="宋体" w:cs="宋体"/>
          <w:kern w:val="0"/>
          <w:sz w:val="27"/>
          <w:szCs w:val="27"/>
          <w:u w:val="single"/>
        </w:rPr>
        <w:t>497.25</w:t>
      </w:r>
      <w:r>
        <w:rPr>
          <w:rFonts w:hint="eastAsia" w:ascii="宋体" w:hAnsi="宋体" w:cs="宋体"/>
          <w:kern w:val="0"/>
          <w:sz w:val="27"/>
          <w:szCs w:val="27"/>
        </w:rPr>
        <w:t>万元，完成年初预算的</w:t>
      </w:r>
      <w:r>
        <w:rPr>
          <w:rFonts w:hint="eastAsia" w:ascii="宋体" w:hAnsi="宋体" w:cs="宋体"/>
          <w:kern w:val="0"/>
          <w:sz w:val="27"/>
          <w:szCs w:val="27"/>
          <w:u w:val="single"/>
        </w:rPr>
        <w:t>100.87</w:t>
      </w:r>
      <w:r>
        <w:rPr>
          <w:rFonts w:hint="eastAsia" w:ascii="宋体" w:hAnsi="宋体" w:cs="宋体"/>
          <w:kern w:val="0"/>
          <w:sz w:val="27"/>
          <w:szCs w:val="27"/>
        </w:rPr>
        <w:t>%。决算数与年初预算数的差异原因：年中依据财政厅文件追加人员工资调整支出经费。</w:t>
      </w:r>
    </w:p>
    <w:p w14:paraId="3AB1CAB3">
      <w:pPr>
        <w:widowControl/>
        <w:jc w:val="left"/>
        <w:rPr>
          <w:rFonts w:eastAsia="Times New Roman"/>
          <w:kern w:val="0"/>
          <w:sz w:val="24"/>
        </w:rPr>
      </w:pPr>
      <w:r>
        <w:rPr>
          <w:rFonts w:ascii="kai_ti_gb2312" w:hAnsi="kai_ti_gb2312" w:eastAsia="kai_ti_gb2312" w:cs="kai_ti_gb2312"/>
          <w:b/>
          <w:bCs/>
          <w:kern w:val="0"/>
          <w:sz w:val="27"/>
          <w:szCs w:val="27"/>
        </w:rPr>
        <w:t>    （</w:t>
      </w:r>
      <w:r>
        <w:rPr>
          <w:rFonts w:hint="eastAsia" w:ascii="kai_ti_gb2312" w:hAnsi="kai_ti_gb2312" w:cs="kai_ti_gb2312"/>
          <w:b/>
          <w:bCs/>
          <w:kern w:val="0"/>
          <w:sz w:val="27"/>
          <w:szCs w:val="27"/>
        </w:rPr>
        <w:t>二</w:t>
      </w:r>
      <w:r>
        <w:rPr>
          <w:rFonts w:ascii="kai_ti_gb2312" w:hAnsi="kai_ti_gb2312" w:eastAsia="kai_ti_gb2312" w:cs="kai_ti_gb2312"/>
          <w:b/>
          <w:bCs/>
          <w:kern w:val="0"/>
          <w:sz w:val="27"/>
          <w:szCs w:val="27"/>
        </w:rPr>
        <w:t>）社会保障和就业支出（类）</w:t>
      </w:r>
    </w:p>
    <w:p w14:paraId="51BA1562">
      <w:pPr>
        <w:widowControl/>
        <w:jc w:val="left"/>
        <w:rPr>
          <w:rFonts w:hint="eastAsia" w:ascii="宋体" w:hAnsi="宋体" w:cs="宋体"/>
          <w:kern w:val="0"/>
          <w:sz w:val="24"/>
        </w:rPr>
      </w:pPr>
      <w:r>
        <w:rPr>
          <w:rFonts w:ascii="fang_song_gb2312" w:hAnsi="fang_song_gb2312" w:eastAsia="fang_song_gb2312" w:cs="fang_song_gb2312"/>
          <w:kern w:val="0"/>
          <w:sz w:val="27"/>
          <w:szCs w:val="27"/>
        </w:rPr>
        <w:t>   </w:t>
      </w:r>
      <w:r>
        <w:rPr>
          <w:rFonts w:hint="eastAsia" w:ascii="宋体" w:hAnsi="宋体" w:cs="宋体"/>
          <w:kern w:val="0"/>
          <w:sz w:val="27"/>
          <w:szCs w:val="27"/>
        </w:rPr>
        <w:t xml:space="preserve"> 社会保障和就业支出类决算数为</w:t>
      </w:r>
      <w:r>
        <w:rPr>
          <w:rFonts w:hint="eastAsia" w:ascii="宋体" w:hAnsi="宋体" w:cs="宋体"/>
          <w:kern w:val="0"/>
          <w:sz w:val="27"/>
          <w:szCs w:val="27"/>
          <w:u w:val="single"/>
        </w:rPr>
        <w:t xml:space="preserve"> 111.89</w:t>
      </w:r>
      <w:r>
        <w:rPr>
          <w:rFonts w:hint="eastAsia" w:ascii="宋体" w:hAnsi="宋体" w:cs="宋体"/>
          <w:kern w:val="0"/>
          <w:sz w:val="27"/>
          <w:szCs w:val="27"/>
        </w:rPr>
        <w:t>万元，与年初预算相比增加</w:t>
      </w:r>
      <w:r>
        <w:rPr>
          <w:rFonts w:hint="eastAsia" w:ascii="宋体" w:hAnsi="宋体" w:cs="宋体"/>
          <w:kern w:val="0"/>
          <w:sz w:val="27"/>
          <w:szCs w:val="27"/>
          <w:u w:val="single"/>
        </w:rPr>
        <w:t xml:space="preserve"> 0.00</w:t>
      </w:r>
      <w:r>
        <w:rPr>
          <w:rFonts w:hint="eastAsia" w:ascii="宋体" w:hAnsi="宋体" w:cs="宋体"/>
          <w:kern w:val="0"/>
          <w:sz w:val="27"/>
          <w:szCs w:val="27"/>
        </w:rPr>
        <w:t>万元。其中：</w:t>
      </w:r>
    </w:p>
    <w:p w14:paraId="6AD34111">
      <w:pPr>
        <w:widowControl/>
        <w:jc w:val="left"/>
        <w:rPr>
          <w:rFonts w:hint="eastAsia" w:ascii="宋体" w:hAnsi="宋体" w:cs="宋体"/>
          <w:kern w:val="0"/>
          <w:sz w:val="24"/>
        </w:rPr>
      </w:pPr>
      <w:r>
        <w:rPr>
          <w:rFonts w:hint="eastAsia" w:ascii="宋体" w:hAnsi="宋体" w:cs="宋体"/>
          <w:kern w:val="0"/>
          <w:sz w:val="27"/>
          <w:szCs w:val="27"/>
        </w:rPr>
        <w:t>   1．行政事业单位养老支出（款）事业单位离退休（项）。年初预算</w:t>
      </w:r>
      <w:r>
        <w:rPr>
          <w:rFonts w:hint="eastAsia" w:ascii="宋体" w:hAnsi="宋体" w:cs="宋体"/>
          <w:kern w:val="0"/>
          <w:sz w:val="27"/>
          <w:szCs w:val="27"/>
          <w:u w:val="single"/>
        </w:rPr>
        <w:t>16.85</w:t>
      </w:r>
      <w:r>
        <w:rPr>
          <w:rFonts w:hint="eastAsia" w:ascii="宋体" w:hAnsi="宋体" w:cs="宋体"/>
          <w:kern w:val="0"/>
          <w:sz w:val="27"/>
          <w:szCs w:val="27"/>
        </w:rPr>
        <w:t>万元，支出决算</w:t>
      </w:r>
      <w:r>
        <w:rPr>
          <w:rFonts w:hint="eastAsia" w:ascii="宋体" w:hAnsi="宋体" w:cs="宋体"/>
          <w:kern w:val="0"/>
          <w:sz w:val="27"/>
          <w:szCs w:val="27"/>
          <w:u w:val="single"/>
        </w:rPr>
        <w:t>16.85</w:t>
      </w:r>
      <w:r>
        <w:rPr>
          <w:rFonts w:hint="eastAsia" w:ascii="宋体" w:hAnsi="宋体" w:cs="宋体"/>
          <w:kern w:val="0"/>
          <w:sz w:val="27"/>
          <w:szCs w:val="27"/>
        </w:rPr>
        <w:t>万元，完成年初预算的</w:t>
      </w:r>
      <w:r>
        <w:rPr>
          <w:rFonts w:hint="eastAsia" w:ascii="宋体" w:hAnsi="宋体" w:cs="宋体"/>
          <w:kern w:val="0"/>
          <w:sz w:val="27"/>
          <w:szCs w:val="27"/>
          <w:u w:val="single"/>
        </w:rPr>
        <w:t>100</w:t>
      </w:r>
      <w:r>
        <w:rPr>
          <w:rFonts w:hint="eastAsia" w:ascii="宋体" w:hAnsi="宋体" w:cs="宋体"/>
          <w:kern w:val="0"/>
          <w:sz w:val="27"/>
          <w:szCs w:val="27"/>
        </w:rPr>
        <w:t>%。决算数与年初预算数的差异原因：无差异。</w:t>
      </w:r>
    </w:p>
    <w:p w14:paraId="45741BAB">
      <w:pPr>
        <w:widowControl/>
        <w:jc w:val="left"/>
        <w:rPr>
          <w:rFonts w:hint="eastAsia" w:ascii="宋体" w:hAnsi="宋体" w:cs="宋体"/>
          <w:kern w:val="0"/>
          <w:sz w:val="24"/>
        </w:rPr>
      </w:pPr>
      <w:r>
        <w:rPr>
          <w:rFonts w:ascii="fang_song_gb2312" w:hAnsi="fang_song_gb2312" w:eastAsia="fang_song_gb2312" w:cs="fang_song_gb2312"/>
          <w:kern w:val="0"/>
          <w:sz w:val="27"/>
          <w:szCs w:val="27"/>
        </w:rPr>
        <w:t> </w:t>
      </w:r>
      <w:r>
        <w:rPr>
          <w:rFonts w:hint="eastAsia" w:ascii="宋体" w:hAnsi="宋体" w:cs="宋体"/>
          <w:kern w:val="0"/>
          <w:sz w:val="27"/>
          <w:szCs w:val="27"/>
        </w:rPr>
        <w:t>  2．行政事业单位养老支出（款）机关事业单位基本养老保险缴费支出（项）。年初预算</w:t>
      </w:r>
      <w:r>
        <w:rPr>
          <w:rFonts w:hint="eastAsia" w:ascii="宋体" w:hAnsi="宋体" w:cs="宋体"/>
          <w:kern w:val="0"/>
          <w:sz w:val="27"/>
          <w:szCs w:val="27"/>
          <w:u w:val="single"/>
        </w:rPr>
        <w:t>64.5</w:t>
      </w:r>
      <w:r>
        <w:rPr>
          <w:rFonts w:hint="eastAsia" w:ascii="宋体" w:hAnsi="宋体" w:cs="宋体"/>
          <w:kern w:val="0"/>
          <w:sz w:val="27"/>
          <w:szCs w:val="27"/>
        </w:rPr>
        <w:t>万元，支出决算</w:t>
      </w:r>
      <w:r>
        <w:rPr>
          <w:rFonts w:hint="eastAsia" w:ascii="宋体" w:hAnsi="宋体" w:cs="宋体"/>
          <w:kern w:val="0"/>
          <w:sz w:val="27"/>
          <w:szCs w:val="27"/>
          <w:u w:val="single"/>
        </w:rPr>
        <w:t>64.5</w:t>
      </w:r>
      <w:r>
        <w:rPr>
          <w:rFonts w:hint="eastAsia" w:ascii="宋体" w:hAnsi="宋体" w:cs="宋体"/>
          <w:kern w:val="0"/>
          <w:sz w:val="27"/>
          <w:szCs w:val="27"/>
        </w:rPr>
        <w:t>万元，完成年初预算的</w:t>
      </w:r>
      <w:r>
        <w:rPr>
          <w:rFonts w:hint="eastAsia" w:ascii="宋体" w:hAnsi="宋体" w:cs="宋体"/>
          <w:kern w:val="0"/>
          <w:sz w:val="27"/>
          <w:szCs w:val="27"/>
          <w:u w:val="single"/>
        </w:rPr>
        <w:t>100</w:t>
      </w:r>
      <w:r>
        <w:rPr>
          <w:rFonts w:hint="eastAsia" w:ascii="宋体" w:hAnsi="宋体" w:cs="宋体"/>
          <w:kern w:val="0"/>
          <w:sz w:val="27"/>
          <w:szCs w:val="27"/>
        </w:rPr>
        <w:t>%。决算数与年初预算数的差异原因：无差异。</w:t>
      </w:r>
    </w:p>
    <w:p w14:paraId="12563794">
      <w:pPr>
        <w:widowControl/>
        <w:jc w:val="left"/>
        <w:rPr>
          <w:rFonts w:hint="eastAsia" w:ascii="宋体" w:hAnsi="宋体" w:cs="宋体"/>
          <w:kern w:val="0"/>
          <w:sz w:val="24"/>
        </w:rPr>
      </w:pPr>
      <w:r>
        <w:rPr>
          <w:rFonts w:hint="eastAsia" w:ascii="宋体" w:hAnsi="宋体" w:cs="宋体"/>
          <w:kern w:val="0"/>
          <w:sz w:val="27"/>
          <w:szCs w:val="27"/>
        </w:rPr>
        <w:t>   3．行政事业单位养老支出（款）机关事业单位职业年金缴费支出（项）。年初预算</w:t>
      </w:r>
      <w:r>
        <w:rPr>
          <w:rFonts w:hint="eastAsia" w:ascii="宋体" w:hAnsi="宋体" w:cs="宋体"/>
          <w:kern w:val="0"/>
          <w:sz w:val="27"/>
          <w:szCs w:val="27"/>
          <w:u w:val="single"/>
        </w:rPr>
        <w:t>30.54</w:t>
      </w:r>
      <w:r>
        <w:rPr>
          <w:rFonts w:hint="eastAsia" w:ascii="宋体" w:hAnsi="宋体" w:cs="宋体"/>
          <w:kern w:val="0"/>
          <w:sz w:val="27"/>
          <w:szCs w:val="27"/>
        </w:rPr>
        <w:t>万元，支出决算</w:t>
      </w:r>
      <w:r>
        <w:rPr>
          <w:rFonts w:hint="eastAsia" w:ascii="宋体" w:hAnsi="宋体" w:cs="宋体"/>
          <w:kern w:val="0"/>
          <w:sz w:val="27"/>
          <w:szCs w:val="27"/>
          <w:u w:val="single"/>
        </w:rPr>
        <w:t>30.54</w:t>
      </w:r>
      <w:r>
        <w:rPr>
          <w:rFonts w:hint="eastAsia" w:ascii="宋体" w:hAnsi="宋体" w:cs="宋体"/>
          <w:kern w:val="0"/>
          <w:sz w:val="27"/>
          <w:szCs w:val="27"/>
        </w:rPr>
        <w:t>万元，完成年初预算的</w:t>
      </w:r>
      <w:r>
        <w:rPr>
          <w:rFonts w:hint="eastAsia" w:ascii="宋体" w:hAnsi="宋体" w:cs="宋体"/>
          <w:kern w:val="0"/>
          <w:sz w:val="27"/>
          <w:szCs w:val="27"/>
          <w:u w:val="single"/>
        </w:rPr>
        <w:t>100</w:t>
      </w:r>
      <w:r>
        <w:rPr>
          <w:rFonts w:hint="eastAsia" w:ascii="宋体" w:hAnsi="宋体" w:cs="宋体"/>
          <w:kern w:val="0"/>
          <w:sz w:val="27"/>
          <w:szCs w:val="27"/>
        </w:rPr>
        <w:t>%。决算数与年初预算数的差异原因：无差异。</w:t>
      </w:r>
    </w:p>
    <w:p w14:paraId="109EF50C">
      <w:pPr>
        <w:widowControl/>
        <w:ind w:firstLine="542" w:firstLineChars="200"/>
        <w:jc w:val="left"/>
        <w:rPr>
          <w:rFonts w:hint="eastAsia" w:ascii="黑体" w:hAnsi="黑体" w:eastAsia="黑体" w:cs="黑体"/>
          <w:b/>
          <w:bCs/>
          <w:kern w:val="0"/>
          <w:sz w:val="27"/>
          <w:szCs w:val="27"/>
        </w:rPr>
      </w:pPr>
      <w:r>
        <w:rPr>
          <w:rFonts w:ascii="黑体" w:hAnsi="黑体" w:eastAsia="黑体" w:cs="黑体"/>
          <w:b/>
          <w:bCs/>
          <w:kern w:val="0"/>
          <w:sz w:val="27"/>
          <w:szCs w:val="27"/>
        </w:rPr>
        <w:t>六、一般公共预算财政拨款基本支出决算情况说明</w:t>
      </w:r>
    </w:p>
    <w:p w14:paraId="3D2B7D64">
      <w:pPr>
        <w:widowControl/>
        <w:ind w:firstLine="393"/>
        <w:jc w:val="left"/>
        <w:rPr>
          <w:rFonts w:hint="eastAsia" w:ascii="宋体" w:hAnsi="宋体" w:cs="宋体"/>
          <w:kern w:val="0"/>
          <w:sz w:val="24"/>
        </w:rPr>
      </w:pPr>
      <w:r>
        <w:rPr>
          <w:rFonts w:ascii="fang_song_gb2312" w:hAnsi="fang_song_gb2312" w:eastAsia="fang_song_gb2312" w:cs="fang_song_gb2312"/>
          <w:kern w:val="0"/>
          <w:sz w:val="27"/>
          <w:szCs w:val="27"/>
        </w:rPr>
        <w:t> </w:t>
      </w:r>
      <w:r>
        <w:rPr>
          <w:rFonts w:hint="eastAsia" w:ascii="宋体" w:hAnsi="宋体" w:cs="宋体"/>
          <w:kern w:val="0"/>
          <w:sz w:val="27"/>
          <w:szCs w:val="27"/>
        </w:rPr>
        <w:t>内蒙古自治区特种设备检验研究院巴彦淖尔分院 2023年度一般公共预算财政拨款基本支出决算</w:t>
      </w:r>
      <w:r>
        <w:rPr>
          <w:rFonts w:hint="eastAsia" w:ascii="宋体" w:hAnsi="宋体" w:cs="宋体"/>
          <w:kern w:val="0"/>
          <w:sz w:val="27"/>
          <w:szCs w:val="27"/>
          <w:u w:val="single"/>
        </w:rPr>
        <w:t xml:space="preserve"> 1,280.27</w:t>
      </w:r>
      <w:r>
        <w:rPr>
          <w:rFonts w:hint="eastAsia" w:ascii="宋体" w:hAnsi="宋体" w:cs="宋体"/>
          <w:kern w:val="0"/>
          <w:sz w:val="27"/>
          <w:szCs w:val="27"/>
        </w:rPr>
        <w:t>万元，其中：</w:t>
      </w:r>
    </w:p>
    <w:p w14:paraId="4876295D">
      <w:pPr>
        <w:widowControl/>
        <w:rPr>
          <w:rFonts w:hint="eastAsia" w:ascii="宋体" w:hAnsi="宋体" w:cs="宋体"/>
          <w:kern w:val="0"/>
          <w:sz w:val="24"/>
        </w:rPr>
      </w:pPr>
      <w:r>
        <w:rPr>
          <w:rFonts w:ascii="fang_song_gb2312" w:hAnsi="fang_song_gb2312" w:eastAsia="fang_song_gb2312" w:cs="fang_song_gb2312"/>
          <w:b/>
          <w:bCs/>
          <w:kern w:val="0"/>
          <w:sz w:val="27"/>
          <w:szCs w:val="27"/>
        </w:rPr>
        <w:t>   </w:t>
      </w:r>
      <w:r>
        <w:rPr>
          <w:rFonts w:hint="eastAsia" w:ascii="fang_song_gb2312" w:hAnsi="fang_song_gb2312" w:cs="fang_song_gb2312"/>
          <w:b/>
          <w:bCs/>
          <w:kern w:val="0"/>
          <w:sz w:val="27"/>
          <w:szCs w:val="27"/>
        </w:rPr>
        <w:t xml:space="preserve"> </w:t>
      </w:r>
      <w:r>
        <w:rPr>
          <w:rFonts w:ascii="fang_song_gb2312" w:hAnsi="fang_song_gb2312" w:eastAsia="fang_song_gb2312" w:cs="fang_song_gb2312"/>
          <w:b/>
          <w:bCs/>
          <w:kern w:val="0"/>
          <w:sz w:val="27"/>
          <w:szCs w:val="27"/>
        </w:rPr>
        <w:t>（一）人员经费</w:t>
      </w:r>
      <w:r>
        <w:rPr>
          <w:rFonts w:hint="eastAsia" w:ascii="宋体" w:hAnsi="宋体" w:cs="宋体"/>
          <w:b/>
          <w:bCs/>
          <w:kern w:val="0"/>
          <w:sz w:val="27"/>
          <w:szCs w:val="27"/>
          <w:u w:val="single"/>
        </w:rPr>
        <w:t xml:space="preserve"> 1,279.94</w:t>
      </w:r>
      <w:r>
        <w:rPr>
          <w:rFonts w:hint="eastAsia" w:ascii="宋体" w:hAnsi="宋体" w:cs="宋体"/>
          <w:b/>
          <w:bCs/>
          <w:kern w:val="0"/>
          <w:sz w:val="27"/>
          <w:szCs w:val="27"/>
        </w:rPr>
        <w:t>万</w:t>
      </w:r>
      <w:r>
        <w:rPr>
          <w:rFonts w:ascii="fang_song_gb2312" w:hAnsi="fang_song_gb2312" w:eastAsia="fang_song_gb2312" w:cs="fang_song_gb2312"/>
          <w:b/>
          <w:bCs/>
          <w:kern w:val="0"/>
          <w:sz w:val="27"/>
          <w:szCs w:val="27"/>
        </w:rPr>
        <w:t>元</w:t>
      </w:r>
      <w:r>
        <w:rPr>
          <w:rFonts w:ascii="fang_song_gb2312" w:hAnsi="fang_song_gb2312" w:eastAsia="fang_song_gb2312" w:cs="fang_song_gb2312"/>
          <w:kern w:val="0"/>
          <w:sz w:val="27"/>
          <w:szCs w:val="27"/>
        </w:rPr>
        <w:t>。</w:t>
      </w:r>
      <w:r>
        <w:rPr>
          <w:rFonts w:hint="eastAsia" w:ascii="宋体" w:hAnsi="宋体" w:cs="宋体"/>
          <w:kern w:val="0"/>
          <w:sz w:val="27"/>
          <w:szCs w:val="27"/>
        </w:rPr>
        <w:t>主要包括：基本工资199.39万元、津贴补贴123.4万元、绩效工资139.77万元、机关事业单位基本养老保险缴费64.5万元、职业年金缴费30.54万元、职工基本医疗保险缴费28.75万元、其他社会保障缴费5.94万元、其他工资福利支出670.8万元、退休费16.85万元。</w:t>
      </w:r>
    </w:p>
    <w:p w14:paraId="781DABEC">
      <w:pPr>
        <w:widowControl/>
        <w:rPr>
          <w:rFonts w:eastAsia="Times New Roman"/>
          <w:kern w:val="0"/>
          <w:sz w:val="24"/>
        </w:rPr>
      </w:pPr>
      <w:r>
        <w:rPr>
          <w:rFonts w:ascii="fang_song_gb2312" w:hAnsi="fang_song_gb2312" w:eastAsia="fang_song_gb2312" w:cs="fang_song_gb2312"/>
          <w:b/>
          <w:bCs/>
          <w:kern w:val="0"/>
          <w:sz w:val="27"/>
          <w:szCs w:val="27"/>
        </w:rPr>
        <w:t> </w:t>
      </w:r>
      <w:r>
        <w:rPr>
          <w:rFonts w:hint="eastAsia" w:ascii="宋体" w:hAnsi="宋体" w:cs="宋体"/>
          <w:b/>
          <w:bCs/>
          <w:kern w:val="0"/>
          <w:sz w:val="27"/>
          <w:szCs w:val="27"/>
        </w:rPr>
        <w:t xml:space="preserve">  （二）公用经费</w:t>
      </w:r>
      <w:r>
        <w:rPr>
          <w:rFonts w:hint="eastAsia" w:ascii="宋体" w:hAnsi="宋体" w:cs="宋体"/>
          <w:kern w:val="0"/>
          <w:sz w:val="27"/>
          <w:szCs w:val="27"/>
          <w:u w:val="single"/>
        </w:rPr>
        <w:t xml:space="preserve"> 0.32</w:t>
      </w:r>
      <w:r>
        <w:rPr>
          <w:rFonts w:hint="eastAsia" w:ascii="宋体" w:hAnsi="宋体" w:cs="宋体"/>
          <w:b/>
          <w:bCs/>
          <w:kern w:val="0"/>
          <w:sz w:val="27"/>
          <w:szCs w:val="27"/>
        </w:rPr>
        <w:t>万元</w:t>
      </w:r>
      <w:r>
        <w:rPr>
          <w:rFonts w:hint="eastAsia" w:ascii="宋体" w:hAnsi="宋体" w:cs="宋体"/>
          <w:kern w:val="0"/>
          <w:sz w:val="27"/>
          <w:szCs w:val="27"/>
        </w:rPr>
        <w:t>。</w:t>
      </w:r>
      <w:r>
        <w:rPr>
          <w:rFonts w:ascii="fang_song_gb2312" w:hAnsi="fang_song_gb2312" w:eastAsia="fang_song_gb2312" w:cs="fang_song_gb2312"/>
          <w:kern w:val="0"/>
          <w:sz w:val="27"/>
          <w:szCs w:val="27"/>
        </w:rPr>
        <w:t>主要包括：其他商</w:t>
      </w:r>
      <w:r>
        <w:rPr>
          <w:rFonts w:hint="eastAsia" w:ascii="宋体" w:hAnsi="宋体" w:cs="宋体"/>
          <w:kern w:val="0"/>
          <w:sz w:val="27"/>
          <w:szCs w:val="27"/>
        </w:rPr>
        <w:t>品和服务支出0.32万元。</w:t>
      </w:r>
    </w:p>
    <w:p w14:paraId="25598674">
      <w:pPr>
        <w:widowControl/>
        <w:ind w:firstLine="393"/>
        <w:jc w:val="left"/>
        <w:rPr>
          <w:rFonts w:hint="eastAsia" w:ascii="宋体" w:hAnsi="宋体" w:cs="宋体"/>
          <w:kern w:val="0"/>
          <w:sz w:val="27"/>
          <w:szCs w:val="27"/>
        </w:rPr>
      </w:pPr>
      <w:r>
        <w:rPr>
          <w:rFonts w:ascii="黑体" w:hAnsi="黑体" w:eastAsia="黑体" w:cs="黑体"/>
          <w:b/>
          <w:bCs/>
          <w:kern w:val="0"/>
          <w:sz w:val="27"/>
          <w:szCs w:val="27"/>
        </w:rPr>
        <w:t>七、一般公共预算财政拨款项目支出决算情况说明</w:t>
      </w:r>
      <w:r>
        <w:rPr>
          <w:rFonts w:ascii="fang_song_gb2312" w:hAnsi="fang_song_gb2312" w:eastAsia="fang_song_gb2312" w:cs="fang_song_gb2312"/>
          <w:kern w:val="0"/>
          <w:sz w:val="27"/>
          <w:szCs w:val="27"/>
        </w:rPr>
        <w:t xml:space="preserve">  </w:t>
      </w:r>
      <w:r>
        <w:rPr>
          <w:rFonts w:hint="eastAsia" w:ascii="宋体" w:hAnsi="宋体" w:cs="宋体"/>
          <w:kern w:val="0"/>
          <w:sz w:val="27"/>
          <w:szCs w:val="27"/>
        </w:rPr>
        <w:t xml:space="preserve">  </w:t>
      </w:r>
    </w:p>
    <w:p w14:paraId="7687E495">
      <w:pPr>
        <w:widowControl/>
        <w:ind w:firstLine="393"/>
        <w:jc w:val="left"/>
        <w:rPr>
          <w:rFonts w:hint="eastAsia" w:ascii="宋体" w:hAnsi="宋体" w:cs="宋体"/>
          <w:kern w:val="0"/>
          <w:sz w:val="24"/>
        </w:rPr>
      </w:pPr>
      <w:r>
        <w:rPr>
          <w:rFonts w:hint="eastAsia" w:ascii="宋体" w:hAnsi="宋体" w:cs="宋体"/>
          <w:kern w:val="0"/>
          <w:sz w:val="27"/>
          <w:szCs w:val="27"/>
        </w:rPr>
        <w:t>内蒙古自治区特种设备检验研究院巴彦淖尔分院 2023年度一般公共预算财政拨款项目支出决算</w:t>
      </w:r>
      <w:r>
        <w:rPr>
          <w:rFonts w:hint="eastAsia" w:ascii="宋体" w:hAnsi="宋体" w:cs="宋体"/>
          <w:kern w:val="0"/>
          <w:sz w:val="27"/>
          <w:szCs w:val="27"/>
          <w:u w:val="single"/>
        </w:rPr>
        <w:t xml:space="preserve"> 453.40</w:t>
      </w:r>
      <w:r>
        <w:rPr>
          <w:rFonts w:hint="eastAsia" w:ascii="宋体" w:hAnsi="宋体" w:cs="宋体"/>
          <w:kern w:val="0"/>
          <w:sz w:val="27"/>
          <w:szCs w:val="27"/>
        </w:rPr>
        <w:t>万元，其中：</w:t>
      </w:r>
    </w:p>
    <w:p w14:paraId="56591D2A">
      <w:pPr>
        <w:widowControl/>
        <w:numPr>
          <w:ilvl w:val="0"/>
          <w:numId w:val="1"/>
        </w:numPr>
        <w:rPr>
          <w:rFonts w:ascii="fang_song_gb2312" w:hAnsi="fang_song_gb2312" w:eastAsia="fang_song_gb2312" w:cs="fang_song_gb2312"/>
          <w:kern w:val="0"/>
          <w:sz w:val="27"/>
          <w:szCs w:val="27"/>
        </w:rPr>
      </w:pPr>
      <w:r>
        <w:rPr>
          <w:rFonts w:ascii="fang_song_gb2312" w:hAnsi="fang_song_gb2312" w:eastAsia="fang_song_gb2312" w:cs="fang_song_gb2312"/>
          <w:b/>
          <w:bCs/>
          <w:kern w:val="0"/>
          <w:sz w:val="27"/>
          <w:szCs w:val="27"/>
        </w:rPr>
        <w:t>工资福利支出</w:t>
      </w:r>
      <w:r>
        <w:rPr>
          <w:rFonts w:hint="eastAsia" w:ascii="宋体" w:hAnsi="宋体" w:cs="宋体"/>
          <w:b/>
          <w:bCs/>
          <w:kern w:val="0"/>
          <w:sz w:val="27"/>
          <w:szCs w:val="27"/>
          <w:u w:val="single"/>
        </w:rPr>
        <w:t xml:space="preserve"> 0.00</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w:t>
      </w:r>
    </w:p>
    <w:p w14:paraId="33C0C9F9">
      <w:pPr>
        <w:widowControl/>
        <w:rPr>
          <w:rFonts w:hint="eastAsia" w:ascii="宋体" w:hAnsi="宋体" w:cs="宋体"/>
          <w:kern w:val="0"/>
          <w:sz w:val="24"/>
        </w:rPr>
      </w:pPr>
      <w:r>
        <w:rPr>
          <w:rFonts w:ascii="fang_song_gb2312" w:hAnsi="fang_song_gb2312" w:eastAsia="fang_song_gb2312" w:cs="fang_song_gb2312"/>
          <w:b/>
          <w:bCs/>
          <w:kern w:val="0"/>
          <w:sz w:val="27"/>
          <w:szCs w:val="27"/>
        </w:rPr>
        <w:t>    （二）商品和服务支出</w:t>
      </w:r>
      <w:r>
        <w:rPr>
          <w:rFonts w:ascii="times_new_roman" w:hAnsi="times_new_roman" w:eastAsia="times_new_roman" w:cs="times_new_roman"/>
          <w:kern w:val="0"/>
          <w:sz w:val="27"/>
          <w:szCs w:val="27"/>
          <w:u w:val="single"/>
        </w:rPr>
        <w:t xml:space="preserve"> </w:t>
      </w:r>
      <w:r>
        <w:rPr>
          <w:rFonts w:hint="eastAsia" w:ascii="宋体" w:hAnsi="宋体" w:cs="宋体"/>
          <w:b/>
          <w:bCs/>
          <w:kern w:val="0"/>
          <w:sz w:val="27"/>
          <w:szCs w:val="27"/>
          <w:u w:val="single"/>
        </w:rPr>
        <w:t>350.40</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w:t>
      </w:r>
      <w:r>
        <w:rPr>
          <w:rFonts w:hint="eastAsia" w:ascii="宋体" w:hAnsi="宋体" w:cs="宋体"/>
          <w:kern w:val="0"/>
          <w:sz w:val="27"/>
          <w:szCs w:val="27"/>
        </w:rPr>
        <w:t>办公费28万元、咨询费7.9万元、水费1万元、电费20万元、邮电费5万元、物业管理费10万元、差旅费82.3万元、维修（护）费37万元、租赁费5万元、培训费9.54万元、专用材料费25万元、专用燃料费10万元、工会经费35万元、福利费15万元、公务用车运行维护费10万元、其他商品和服务支出49.66万元。</w:t>
      </w:r>
    </w:p>
    <w:p w14:paraId="061116A6">
      <w:pPr>
        <w:widowControl/>
        <w:rPr>
          <w:rFonts w:hint="eastAsia" w:ascii="宋体" w:hAnsi="宋体" w:cs="宋体"/>
          <w:kern w:val="0"/>
          <w:sz w:val="24"/>
        </w:rPr>
      </w:pPr>
      <w:r>
        <w:rPr>
          <w:rFonts w:ascii="fang_song_gb2312" w:hAnsi="fang_song_gb2312" w:eastAsia="fang_song_gb2312" w:cs="fang_song_gb2312"/>
          <w:kern w:val="0"/>
          <w:sz w:val="27"/>
          <w:szCs w:val="27"/>
        </w:rPr>
        <w:t xml:space="preserve">    </w:t>
      </w:r>
      <w:r>
        <w:rPr>
          <w:rFonts w:ascii="fang_song_gb2312" w:hAnsi="fang_song_gb2312" w:eastAsia="fang_song_gb2312" w:cs="fang_song_gb2312"/>
          <w:b/>
          <w:bCs/>
          <w:kern w:val="0"/>
          <w:sz w:val="27"/>
          <w:szCs w:val="27"/>
        </w:rPr>
        <w:t>（</w:t>
      </w:r>
      <w:r>
        <w:rPr>
          <w:rFonts w:hint="eastAsia" w:ascii="fang_song_gb2312" w:hAnsi="fang_song_gb2312" w:cs="fang_song_gb2312"/>
          <w:b/>
          <w:bCs/>
          <w:kern w:val="0"/>
          <w:sz w:val="27"/>
          <w:szCs w:val="27"/>
        </w:rPr>
        <w:t>三</w:t>
      </w:r>
      <w:r>
        <w:rPr>
          <w:rFonts w:ascii="fang_song_gb2312" w:hAnsi="fang_song_gb2312" w:eastAsia="fang_song_gb2312" w:cs="fang_song_gb2312"/>
          <w:b/>
          <w:bCs/>
          <w:kern w:val="0"/>
          <w:sz w:val="27"/>
          <w:szCs w:val="27"/>
        </w:rPr>
        <w:t>）</w:t>
      </w:r>
      <w:r>
        <w:rPr>
          <w:rFonts w:hint="eastAsia" w:ascii="fang_song_gb2312" w:hAnsi="fang_song_gb2312" w:eastAsia="fang_song_gb2312" w:cs="fang_song_gb2312"/>
          <w:b/>
          <w:bCs/>
          <w:kern w:val="0"/>
          <w:sz w:val="27"/>
          <w:szCs w:val="27"/>
        </w:rPr>
        <w:t>资本性支出</w:t>
      </w:r>
      <w:r>
        <w:rPr>
          <w:rFonts w:ascii="times_new_roman" w:hAnsi="times_new_roman" w:eastAsia="times_new_roman" w:cs="times_new_roman"/>
          <w:kern w:val="0"/>
          <w:sz w:val="27"/>
          <w:szCs w:val="27"/>
          <w:u w:val="single"/>
        </w:rPr>
        <w:t xml:space="preserve"> </w:t>
      </w:r>
      <w:r>
        <w:rPr>
          <w:rFonts w:hint="eastAsia" w:ascii="宋体" w:hAnsi="宋体" w:cs="宋体"/>
          <w:b/>
          <w:bCs/>
          <w:kern w:val="0"/>
          <w:sz w:val="27"/>
          <w:szCs w:val="27"/>
          <w:u w:val="single"/>
        </w:rPr>
        <w:t>103</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w:t>
      </w:r>
      <w:r>
        <w:rPr>
          <w:rFonts w:hint="eastAsia" w:ascii="宋体" w:hAnsi="宋体" w:cs="宋体"/>
          <w:kern w:val="0"/>
          <w:sz w:val="27"/>
          <w:szCs w:val="27"/>
        </w:rPr>
        <w:t>办公设备购置11万元、  专用设备购置92万元。</w:t>
      </w:r>
    </w:p>
    <w:p w14:paraId="589E92D4">
      <w:pPr>
        <w:widowControl/>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黑体" w:hAnsi="黑体" w:eastAsia="黑体" w:cs="黑体"/>
          <w:b/>
          <w:bCs/>
          <w:kern w:val="0"/>
          <w:sz w:val="27"/>
          <w:szCs w:val="27"/>
        </w:rPr>
        <w:t xml:space="preserve"> </w:t>
      </w:r>
      <w:r>
        <w:rPr>
          <w:rFonts w:ascii="黑体" w:hAnsi="黑体" w:eastAsia="黑体" w:cs="黑体"/>
          <w:b/>
          <w:bCs/>
          <w:kern w:val="0"/>
          <w:sz w:val="27"/>
          <w:szCs w:val="27"/>
        </w:rPr>
        <w:t>八、财政拨款“三公”经费支出决算情况说明</w:t>
      </w:r>
    </w:p>
    <w:p w14:paraId="5673B584">
      <w:pPr>
        <w:widowControl/>
        <w:jc w:val="left"/>
        <w:rPr>
          <w:rFonts w:eastAsia="Times New Roman"/>
          <w:kern w:val="0"/>
          <w:sz w:val="24"/>
        </w:rPr>
      </w:pPr>
      <w:r>
        <w:rPr>
          <w:rFonts w:ascii="kai_ti_gb2312" w:hAnsi="kai_ti_gb2312" w:eastAsia="kai_ti_gb2312" w:cs="kai_ti_gb2312"/>
          <w:b/>
          <w:bCs/>
          <w:kern w:val="0"/>
          <w:sz w:val="27"/>
          <w:szCs w:val="27"/>
        </w:rPr>
        <w:t>    （一）财政拨款“三公”经费支出总体情况说明。</w:t>
      </w:r>
    </w:p>
    <w:p w14:paraId="30077560">
      <w:pPr>
        <w:widowControl/>
        <w:rPr>
          <w:rFonts w:eastAsia="Times New Roman"/>
          <w:kern w:val="0"/>
          <w:sz w:val="24"/>
        </w:rPr>
      </w:pPr>
      <w:r>
        <w:rPr>
          <w:rFonts w:ascii="fang_song_gb2312" w:hAnsi="fang_song_gb2312" w:eastAsia="fang_song_gb2312" w:cs="fang_song_gb2312"/>
          <w:kern w:val="0"/>
          <w:sz w:val="27"/>
          <w:szCs w:val="27"/>
        </w:rPr>
        <w:t xml:space="preserve">  </w:t>
      </w:r>
      <w:r>
        <w:rPr>
          <w:rFonts w:hint="eastAsia" w:ascii="宋体" w:hAnsi="宋体" w:cs="宋体"/>
          <w:kern w:val="0"/>
          <w:sz w:val="27"/>
          <w:szCs w:val="27"/>
        </w:rPr>
        <w:t>  内蒙古自治区特种设备检验研究院巴彦淖尔分院 2023年度财政拨款“三公”经费全年预算</w:t>
      </w:r>
      <w:r>
        <w:rPr>
          <w:rFonts w:hint="eastAsia" w:ascii="宋体" w:hAnsi="宋体" w:cs="宋体"/>
          <w:kern w:val="0"/>
          <w:sz w:val="27"/>
          <w:szCs w:val="27"/>
          <w:u w:val="single"/>
        </w:rPr>
        <w:t xml:space="preserve"> 11.50</w:t>
      </w:r>
      <w:r>
        <w:rPr>
          <w:rFonts w:hint="eastAsia" w:ascii="宋体" w:hAnsi="宋体" w:cs="宋体"/>
          <w:kern w:val="0"/>
          <w:sz w:val="27"/>
          <w:szCs w:val="27"/>
        </w:rPr>
        <w:t>万元，支出决算</w:t>
      </w:r>
      <w:r>
        <w:rPr>
          <w:rFonts w:hint="eastAsia" w:ascii="宋体" w:hAnsi="宋体" w:cs="宋体"/>
          <w:kern w:val="0"/>
          <w:sz w:val="27"/>
          <w:szCs w:val="27"/>
          <w:u w:val="single"/>
        </w:rPr>
        <w:t xml:space="preserve"> 10.00</w:t>
      </w:r>
      <w:r>
        <w:rPr>
          <w:rFonts w:hint="eastAsia" w:ascii="宋体" w:hAnsi="宋体" w:cs="宋体"/>
          <w:kern w:val="0"/>
          <w:sz w:val="27"/>
          <w:szCs w:val="27"/>
        </w:rPr>
        <w:t>万元，完成预算的</w:t>
      </w:r>
      <w:r>
        <w:rPr>
          <w:rFonts w:hint="eastAsia" w:ascii="宋体" w:hAnsi="宋体" w:cs="宋体"/>
          <w:kern w:val="0"/>
          <w:sz w:val="27"/>
          <w:szCs w:val="27"/>
          <w:u w:val="single"/>
        </w:rPr>
        <w:t xml:space="preserve"> 86.96</w:t>
      </w:r>
      <w:r>
        <w:rPr>
          <w:rFonts w:hint="eastAsia" w:ascii="宋体" w:hAnsi="宋体" w:cs="宋体"/>
          <w:kern w:val="0"/>
          <w:sz w:val="27"/>
          <w:szCs w:val="27"/>
        </w:rPr>
        <w:t>%。其中：因公出国（境）费全年预算</w:t>
      </w:r>
      <w:r>
        <w:rPr>
          <w:rFonts w:hint="eastAsia" w:ascii="宋体" w:hAnsi="宋体" w:cs="宋体"/>
          <w:kern w:val="0"/>
          <w:sz w:val="27"/>
          <w:szCs w:val="27"/>
          <w:u w:val="single"/>
        </w:rPr>
        <w:t xml:space="preserve"> 0.00</w:t>
      </w:r>
      <w:r>
        <w:rPr>
          <w:rFonts w:hint="eastAsia" w:ascii="宋体" w:hAnsi="宋体" w:cs="宋体"/>
          <w:kern w:val="0"/>
          <w:sz w:val="27"/>
          <w:szCs w:val="27"/>
        </w:rPr>
        <w:t>万元，支出决算</w:t>
      </w:r>
      <w:r>
        <w:rPr>
          <w:rFonts w:hint="eastAsia" w:ascii="宋体" w:hAnsi="宋体" w:cs="宋体"/>
          <w:kern w:val="0"/>
          <w:sz w:val="27"/>
          <w:szCs w:val="27"/>
          <w:u w:val="single"/>
        </w:rPr>
        <w:t xml:space="preserve"> 0.00</w:t>
      </w:r>
      <w:r>
        <w:rPr>
          <w:rFonts w:hint="eastAsia" w:ascii="宋体" w:hAnsi="宋体" w:cs="宋体"/>
          <w:kern w:val="0"/>
          <w:sz w:val="27"/>
          <w:szCs w:val="27"/>
        </w:rPr>
        <w:t>万元，完成预算的</w:t>
      </w:r>
      <w:r>
        <w:rPr>
          <w:rFonts w:hint="eastAsia" w:ascii="宋体" w:hAnsi="宋体" w:cs="宋体"/>
          <w:kern w:val="0"/>
          <w:sz w:val="27"/>
          <w:szCs w:val="27"/>
          <w:u w:val="single"/>
        </w:rPr>
        <w:t xml:space="preserve"> 0  </w:t>
      </w:r>
      <w:r>
        <w:rPr>
          <w:rFonts w:hint="eastAsia" w:ascii="宋体" w:hAnsi="宋体" w:cs="宋体"/>
          <w:kern w:val="0"/>
          <w:sz w:val="27"/>
          <w:szCs w:val="27"/>
        </w:rPr>
        <w:t>%；公务用车购置及运行维护费全年预算</w:t>
      </w:r>
      <w:r>
        <w:rPr>
          <w:rFonts w:hint="eastAsia" w:ascii="宋体" w:hAnsi="宋体" w:cs="宋体"/>
          <w:kern w:val="0"/>
          <w:sz w:val="27"/>
          <w:szCs w:val="27"/>
          <w:u w:val="single"/>
        </w:rPr>
        <w:t xml:space="preserve"> 10.00</w:t>
      </w:r>
      <w:r>
        <w:rPr>
          <w:rFonts w:hint="eastAsia" w:ascii="宋体" w:hAnsi="宋体" w:cs="宋体"/>
          <w:kern w:val="0"/>
          <w:sz w:val="27"/>
          <w:szCs w:val="27"/>
        </w:rPr>
        <w:t>万元，支出决算</w:t>
      </w:r>
      <w:r>
        <w:rPr>
          <w:rFonts w:hint="eastAsia" w:ascii="宋体" w:hAnsi="宋体" w:cs="宋体"/>
          <w:kern w:val="0"/>
          <w:sz w:val="27"/>
          <w:szCs w:val="27"/>
          <w:u w:val="single"/>
        </w:rPr>
        <w:t xml:space="preserve"> 10.00</w:t>
      </w:r>
      <w:r>
        <w:rPr>
          <w:rFonts w:hint="eastAsia" w:ascii="宋体" w:hAnsi="宋体" w:cs="宋体"/>
          <w:kern w:val="0"/>
          <w:sz w:val="27"/>
          <w:szCs w:val="27"/>
        </w:rPr>
        <w:t>万元，完成预算的</w:t>
      </w:r>
      <w:r>
        <w:rPr>
          <w:rFonts w:hint="eastAsia" w:ascii="宋体" w:hAnsi="宋体" w:cs="宋体"/>
          <w:kern w:val="0"/>
          <w:sz w:val="27"/>
          <w:szCs w:val="27"/>
          <w:u w:val="single"/>
        </w:rPr>
        <w:t xml:space="preserve"> 100.00</w:t>
      </w:r>
      <w:r>
        <w:rPr>
          <w:rFonts w:hint="eastAsia" w:ascii="宋体" w:hAnsi="宋体" w:cs="宋体"/>
          <w:kern w:val="0"/>
          <w:sz w:val="27"/>
          <w:szCs w:val="27"/>
        </w:rPr>
        <w:t>%；公务接待费全年预算</w:t>
      </w:r>
      <w:r>
        <w:rPr>
          <w:rFonts w:hint="eastAsia" w:ascii="宋体" w:hAnsi="宋体" w:cs="宋体"/>
          <w:kern w:val="0"/>
          <w:sz w:val="27"/>
          <w:szCs w:val="27"/>
          <w:u w:val="single"/>
        </w:rPr>
        <w:t xml:space="preserve"> 1.50</w:t>
      </w:r>
      <w:r>
        <w:rPr>
          <w:rFonts w:hint="eastAsia" w:ascii="宋体" w:hAnsi="宋体" w:cs="宋体"/>
          <w:kern w:val="0"/>
          <w:sz w:val="27"/>
          <w:szCs w:val="27"/>
        </w:rPr>
        <w:t>万元，支出决算</w:t>
      </w:r>
      <w:r>
        <w:rPr>
          <w:rFonts w:hint="eastAsia" w:ascii="宋体" w:hAnsi="宋体" w:cs="宋体"/>
          <w:kern w:val="0"/>
          <w:sz w:val="27"/>
          <w:szCs w:val="27"/>
          <w:u w:val="single"/>
        </w:rPr>
        <w:t xml:space="preserve"> 0.00</w:t>
      </w:r>
      <w:r>
        <w:rPr>
          <w:rFonts w:hint="eastAsia" w:ascii="宋体" w:hAnsi="宋体" w:cs="宋体"/>
          <w:kern w:val="0"/>
          <w:sz w:val="27"/>
          <w:szCs w:val="27"/>
        </w:rPr>
        <w:t>万元，完成预算的</w:t>
      </w:r>
      <w:r>
        <w:rPr>
          <w:rFonts w:hint="eastAsia" w:ascii="宋体" w:hAnsi="宋体" w:cs="宋体"/>
          <w:kern w:val="0"/>
          <w:sz w:val="27"/>
          <w:szCs w:val="27"/>
          <w:u w:val="single"/>
        </w:rPr>
        <w:t xml:space="preserve"> 0.00</w:t>
      </w:r>
      <w:r>
        <w:rPr>
          <w:rFonts w:hint="eastAsia" w:ascii="宋体" w:hAnsi="宋体" w:cs="宋体"/>
          <w:kern w:val="0"/>
          <w:sz w:val="27"/>
          <w:szCs w:val="27"/>
        </w:rPr>
        <w:t>%。2023年度一般公共预算财政拨款“三公”经费支出决算与预算差异原因：一是按照“八项规定”要求，厉行节约，严格执行“三公”经费各项制度，压缩各项经费支出；二是公务接待批次减少。</w:t>
      </w:r>
    </w:p>
    <w:p w14:paraId="292EB759">
      <w:pPr>
        <w:widowControl/>
        <w:jc w:val="left"/>
        <w:rPr>
          <w:rFonts w:eastAsia="Times New Roman"/>
          <w:kern w:val="0"/>
          <w:sz w:val="24"/>
        </w:rPr>
      </w:pPr>
      <w:r>
        <w:rPr>
          <w:rFonts w:ascii="kai_ti_gb2312" w:hAnsi="kai_ti_gb2312" w:eastAsia="kai_ti_gb2312" w:cs="kai_ti_gb2312"/>
          <w:b/>
          <w:bCs/>
          <w:kern w:val="0"/>
          <w:sz w:val="27"/>
          <w:szCs w:val="27"/>
        </w:rPr>
        <w:t>    （二）财政拨款“三公”经费支出具体情况说明。</w:t>
      </w:r>
    </w:p>
    <w:p w14:paraId="003C9226">
      <w:pPr>
        <w:widowControl/>
        <w:rPr>
          <w:rFonts w:hint="eastAsia" w:ascii="宋体" w:hAnsi="宋体" w:cs="宋体"/>
          <w:kern w:val="0"/>
          <w:sz w:val="24"/>
        </w:rPr>
      </w:pPr>
      <w:r>
        <w:rPr>
          <w:rFonts w:ascii="fang_song_gb2312" w:hAnsi="fang_song_gb2312" w:eastAsia="fang_song_gb2312" w:cs="fang_song_gb2312"/>
          <w:kern w:val="0"/>
          <w:sz w:val="27"/>
          <w:szCs w:val="27"/>
        </w:rPr>
        <w:t xml:space="preserve">    </w:t>
      </w:r>
      <w:r>
        <w:rPr>
          <w:rFonts w:hint="eastAsia" w:ascii="宋体" w:hAnsi="宋体" w:cs="宋体"/>
          <w:kern w:val="0"/>
          <w:sz w:val="27"/>
          <w:szCs w:val="27"/>
        </w:rPr>
        <w:t>内蒙古自治区特种设备检验研究院巴彦淖尔分院 2023年度财政拨款“三公”经费支出</w:t>
      </w:r>
      <w:r>
        <w:rPr>
          <w:rFonts w:hint="eastAsia" w:ascii="宋体" w:hAnsi="宋体" w:cs="宋体"/>
          <w:kern w:val="0"/>
          <w:sz w:val="27"/>
          <w:szCs w:val="27"/>
          <w:u w:val="single"/>
        </w:rPr>
        <w:t xml:space="preserve"> 10.00</w:t>
      </w:r>
      <w:r>
        <w:rPr>
          <w:rFonts w:hint="eastAsia" w:ascii="宋体" w:hAnsi="宋体" w:cs="宋体"/>
          <w:kern w:val="0"/>
          <w:sz w:val="27"/>
          <w:szCs w:val="27"/>
        </w:rPr>
        <w:t>万元。因公出国（境）费支出</w:t>
      </w:r>
      <w:r>
        <w:rPr>
          <w:rFonts w:hint="eastAsia" w:ascii="宋体" w:hAnsi="宋体" w:cs="宋体"/>
          <w:kern w:val="0"/>
          <w:sz w:val="27"/>
          <w:szCs w:val="27"/>
          <w:u w:val="single"/>
        </w:rPr>
        <w:t xml:space="preserve"> 0.00</w:t>
      </w:r>
      <w:r>
        <w:rPr>
          <w:rFonts w:hint="eastAsia" w:ascii="宋体" w:hAnsi="宋体" w:cs="宋体"/>
          <w:kern w:val="0"/>
          <w:sz w:val="27"/>
          <w:szCs w:val="27"/>
        </w:rPr>
        <w:t>万元，占</w:t>
      </w:r>
      <w:r>
        <w:rPr>
          <w:rFonts w:hint="eastAsia" w:ascii="宋体" w:hAnsi="宋体" w:cs="宋体"/>
          <w:kern w:val="0"/>
          <w:sz w:val="27"/>
          <w:szCs w:val="27"/>
          <w:u w:val="single"/>
        </w:rPr>
        <w:t xml:space="preserve"> 0.00</w:t>
      </w:r>
      <w:r>
        <w:rPr>
          <w:rFonts w:hint="eastAsia" w:ascii="宋体" w:hAnsi="宋体" w:cs="宋体"/>
          <w:kern w:val="0"/>
          <w:sz w:val="27"/>
          <w:szCs w:val="27"/>
        </w:rPr>
        <w:t>%；公务用车购置及运行维护费支出</w:t>
      </w:r>
      <w:r>
        <w:rPr>
          <w:rFonts w:hint="eastAsia" w:ascii="宋体" w:hAnsi="宋体" w:cs="宋体"/>
          <w:kern w:val="0"/>
          <w:sz w:val="27"/>
          <w:szCs w:val="27"/>
          <w:u w:val="single"/>
        </w:rPr>
        <w:t xml:space="preserve"> 10.00</w:t>
      </w:r>
      <w:r>
        <w:rPr>
          <w:rFonts w:hint="eastAsia" w:ascii="宋体" w:hAnsi="宋体" w:cs="宋体"/>
          <w:kern w:val="0"/>
          <w:sz w:val="27"/>
          <w:szCs w:val="27"/>
        </w:rPr>
        <w:t>万元，占</w:t>
      </w:r>
      <w:r>
        <w:rPr>
          <w:rFonts w:hint="eastAsia" w:ascii="宋体" w:hAnsi="宋体" w:cs="宋体"/>
          <w:kern w:val="0"/>
          <w:sz w:val="27"/>
          <w:szCs w:val="27"/>
          <w:u w:val="single"/>
        </w:rPr>
        <w:t xml:space="preserve"> 100.00</w:t>
      </w:r>
      <w:r>
        <w:rPr>
          <w:rFonts w:hint="eastAsia" w:ascii="宋体" w:hAnsi="宋体" w:cs="宋体"/>
          <w:kern w:val="0"/>
          <w:sz w:val="27"/>
          <w:szCs w:val="27"/>
        </w:rPr>
        <w:t>%；公务接待费支出</w:t>
      </w:r>
      <w:r>
        <w:rPr>
          <w:rFonts w:hint="eastAsia" w:ascii="宋体" w:hAnsi="宋体" w:cs="宋体"/>
          <w:kern w:val="0"/>
          <w:sz w:val="27"/>
          <w:szCs w:val="27"/>
          <w:u w:val="single"/>
        </w:rPr>
        <w:t xml:space="preserve"> 0.00</w:t>
      </w:r>
      <w:r>
        <w:rPr>
          <w:rFonts w:hint="eastAsia" w:ascii="宋体" w:hAnsi="宋体" w:cs="宋体"/>
          <w:kern w:val="0"/>
          <w:sz w:val="27"/>
          <w:szCs w:val="27"/>
        </w:rPr>
        <w:t>万元，占</w:t>
      </w:r>
      <w:r>
        <w:rPr>
          <w:rFonts w:hint="eastAsia" w:ascii="宋体" w:hAnsi="宋体" w:cs="宋体"/>
          <w:kern w:val="0"/>
          <w:sz w:val="27"/>
          <w:szCs w:val="27"/>
          <w:u w:val="single"/>
        </w:rPr>
        <w:t xml:space="preserve"> 0.00</w:t>
      </w:r>
      <w:r>
        <w:rPr>
          <w:rFonts w:hint="eastAsia" w:ascii="宋体" w:hAnsi="宋体" w:cs="宋体"/>
          <w:kern w:val="0"/>
          <w:sz w:val="27"/>
          <w:szCs w:val="27"/>
        </w:rPr>
        <w:t>%。其中：</w:t>
      </w:r>
    </w:p>
    <w:p w14:paraId="2EBF73DA">
      <w:pPr>
        <w:widowControl/>
        <w:rPr>
          <w:rFonts w:hint="eastAsia" w:ascii="宋体" w:hAnsi="宋体" w:cs="宋体"/>
          <w:kern w:val="0"/>
          <w:sz w:val="24"/>
        </w:rPr>
      </w:pPr>
      <w:r>
        <w:rPr>
          <w:rFonts w:hint="eastAsia" w:ascii="宋体" w:hAnsi="宋体" w:cs="宋体"/>
          <w:kern w:val="0"/>
          <w:sz w:val="27"/>
          <w:szCs w:val="27"/>
        </w:rPr>
        <w:t>   1.因公出国（境）费支出</w:t>
      </w:r>
      <w:r>
        <w:rPr>
          <w:rFonts w:hint="eastAsia" w:ascii="宋体" w:hAnsi="宋体" w:cs="宋体"/>
          <w:kern w:val="0"/>
          <w:sz w:val="27"/>
          <w:szCs w:val="27"/>
          <w:u w:val="single"/>
        </w:rPr>
        <w:t xml:space="preserve"> 0.00</w:t>
      </w:r>
      <w:r>
        <w:rPr>
          <w:rFonts w:hint="eastAsia" w:ascii="宋体" w:hAnsi="宋体" w:cs="宋体"/>
          <w:kern w:val="0"/>
          <w:sz w:val="27"/>
          <w:szCs w:val="27"/>
        </w:rPr>
        <w:t>万元，全年出国（境）团组</w:t>
      </w:r>
      <w:r>
        <w:rPr>
          <w:rFonts w:hint="eastAsia" w:ascii="宋体" w:hAnsi="宋体" w:cs="宋体"/>
          <w:kern w:val="0"/>
          <w:sz w:val="27"/>
          <w:szCs w:val="27"/>
          <w:u w:val="single"/>
        </w:rPr>
        <w:t xml:space="preserve">0 </w:t>
      </w:r>
      <w:r>
        <w:rPr>
          <w:rFonts w:hint="eastAsia" w:ascii="宋体" w:hAnsi="宋体" w:cs="宋体"/>
          <w:kern w:val="0"/>
          <w:sz w:val="27"/>
          <w:szCs w:val="27"/>
        </w:rPr>
        <w:t>个，累计</w:t>
      </w:r>
      <w:r>
        <w:rPr>
          <w:rFonts w:hint="eastAsia" w:ascii="宋体" w:hAnsi="宋体" w:cs="宋体"/>
          <w:kern w:val="0"/>
          <w:sz w:val="27"/>
          <w:szCs w:val="27"/>
          <w:u w:val="single"/>
        </w:rPr>
        <w:t xml:space="preserve">0 </w:t>
      </w:r>
      <w:r>
        <w:rPr>
          <w:rFonts w:hint="eastAsia" w:ascii="宋体" w:hAnsi="宋体" w:cs="宋体"/>
          <w:kern w:val="0"/>
          <w:sz w:val="27"/>
          <w:szCs w:val="27"/>
        </w:rPr>
        <w:t>人次。与上年决算相比，增加（减少）</w:t>
      </w:r>
      <w:r>
        <w:rPr>
          <w:rFonts w:hint="eastAsia" w:ascii="宋体" w:hAnsi="宋体" w:cs="宋体"/>
          <w:kern w:val="0"/>
          <w:sz w:val="27"/>
          <w:szCs w:val="27"/>
          <w:u w:val="single"/>
        </w:rPr>
        <w:t xml:space="preserve"> 0.00</w:t>
      </w:r>
      <w:r>
        <w:rPr>
          <w:rFonts w:hint="eastAsia" w:ascii="宋体" w:hAnsi="宋体" w:cs="宋体"/>
          <w:kern w:val="0"/>
          <w:sz w:val="27"/>
          <w:szCs w:val="27"/>
        </w:rPr>
        <w:t>万元，增长</w:t>
      </w:r>
      <w:r>
        <w:rPr>
          <w:rFonts w:hint="eastAsia" w:ascii="宋体" w:hAnsi="宋体" w:cs="宋体"/>
          <w:kern w:val="0"/>
          <w:sz w:val="27"/>
          <w:szCs w:val="27"/>
          <w:u w:val="single"/>
        </w:rPr>
        <w:t>0</w:t>
      </w:r>
      <w:r>
        <w:rPr>
          <w:rFonts w:hint="eastAsia" w:ascii="宋体" w:hAnsi="宋体" w:cs="宋体"/>
          <w:kern w:val="0"/>
          <w:sz w:val="27"/>
          <w:szCs w:val="27"/>
        </w:rPr>
        <w:t>%，变动原因：我单位无此项预算及支出。</w:t>
      </w:r>
    </w:p>
    <w:p w14:paraId="01CC46F2">
      <w:pPr>
        <w:widowControl/>
        <w:rPr>
          <w:rFonts w:hint="eastAsia" w:ascii="宋体" w:hAnsi="宋体" w:cs="宋体"/>
          <w:kern w:val="0"/>
          <w:sz w:val="24"/>
        </w:rPr>
      </w:pPr>
      <w:r>
        <w:rPr>
          <w:rFonts w:hint="eastAsia" w:ascii="宋体" w:hAnsi="宋体" w:cs="宋体"/>
          <w:kern w:val="0"/>
          <w:sz w:val="27"/>
          <w:szCs w:val="27"/>
        </w:rPr>
        <w:t>   2.公务用车购置及运行维护费支出</w:t>
      </w:r>
      <w:r>
        <w:rPr>
          <w:rFonts w:hint="eastAsia" w:ascii="宋体" w:hAnsi="宋体" w:cs="宋体"/>
          <w:kern w:val="0"/>
          <w:sz w:val="27"/>
          <w:szCs w:val="27"/>
          <w:u w:val="single"/>
        </w:rPr>
        <w:t xml:space="preserve"> 10.00</w:t>
      </w:r>
      <w:r>
        <w:rPr>
          <w:rFonts w:hint="eastAsia" w:ascii="宋体" w:hAnsi="宋体" w:cs="宋体"/>
          <w:kern w:val="0"/>
          <w:sz w:val="27"/>
          <w:szCs w:val="27"/>
        </w:rPr>
        <w:t>万元。其中：</w:t>
      </w:r>
    </w:p>
    <w:p w14:paraId="14CA5E20">
      <w:pPr>
        <w:widowControl/>
        <w:rPr>
          <w:rFonts w:hint="eastAsia" w:ascii="宋体" w:hAnsi="宋体" w:cs="宋体"/>
          <w:kern w:val="0"/>
          <w:sz w:val="27"/>
          <w:szCs w:val="27"/>
          <w:u w:val="single"/>
        </w:rPr>
      </w:pPr>
      <w:r>
        <w:rPr>
          <w:rFonts w:hint="eastAsia" w:ascii="宋体" w:hAnsi="宋体" w:cs="宋体"/>
          <w:kern w:val="0"/>
          <w:sz w:val="27"/>
          <w:szCs w:val="27"/>
        </w:rPr>
        <w:t>  （1）公务用车购置支出</w:t>
      </w:r>
      <w:r>
        <w:rPr>
          <w:rFonts w:hint="eastAsia" w:ascii="宋体" w:hAnsi="宋体" w:cs="宋体"/>
          <w:kern w:val="0"/>
          <w:sz w:val="27"/>
          <w:szCs w:val="27"/>
          <w:u w:val="single"/>
        </w:rPr>
        <w:t xml:space="preserve"> 0.00</w:t>
      </w:r>
      <w:r>
        <w:rPr>
          <w:rFonts w:hint="eastAsia" w:ascii="宋体" w:hAnsi="宋体" w:cs="宋体"/>
          <w:kern w:val="0"/>
          <w:sz w:val="27"/>
          <w:szCs w:val="27"/>
        </w:rPr>
        <w:t>万元。本年度使用财政拨款购置公务用车</w:t>
      </w:r>
      <w:r>
        <w:rPr>
          <w:rFonts w:hint="eastAsia" w:ascii="宋体" w:hAnsi="宋体" w:cs="宋体"/>
          <w:kern w:val="0"/>
          <w:sz w:val="27"/>
          <w:szCs w:val="27"/>
          <w:u w:val="single"/>
        </w:rPr>
        <w:t xml:space="preserve">0 </w:t>
      </w:r>
      <w:r>
        <w:rPr>
          <w:rFonts w:hint="eastAsia" w:ascii="宋体" w:hAnsi="宋体" w:cs="宋体"/>
          <w:kern w:val="0"/>
          <w:sz w:val="27"/>
          <w:szCs w:val="27"/>
        </w:rPr>
        <w:t>辆，开支内容：我单位无此项支出。与上年决算相比，增加</w:t>
      </w:r>
      <w:r>
        <w:rPr>
          <w:rFonts w:hint="eastAsia" w:ascii="宋体" w:hAnsi="宋体" w:cs="宋体"/>
          <w:kern w:val="0"/>
          <w:sz w:val="27"/>
          <w:szCs w:val="27"/>
          <w:u w:val="single"/>
        </w:rPr>
        <w:t xml:space="preserve"> 0.00</w:t>
      </w:r>
      <w:r>
        <w:rPr>
          <w:rFonts w:hint="eastAsia" w:ascii="宋体" w:hAnsi="宋体" w:cs="宋体"/>
          <w:kern w:val="0"/>
          <w:sz w:val="27"/>
          <w:szCs w:val="27"/>
        </w:rPr>
        <w:t>万元，增长</w:t>
      </w:r>
      <w:r>
        <w:rPr>
          <w:rFonts w:hint="eastAsia" w:ascii="宋体" w:hAnsi="宋体" w:cs="宋体"/>
          <w:kern w:val="0"/>
          <w:sz w:val="27"/>
          <w:szCs w:val="27"/>
          <w:u w:val="single"/>
        </w:rPr>
        <w:t xml:space="preserve">    </w:t>
      </w:r>
    </w:p>
    <w:p w14:paraId="3289AB8C">
      <w:pPr>
        <w:widowControl/>
        <w:rPr>
          <w:rFonts w:hint="eastAsia" w:ascii="宋体" w:hAnsi="宋体" w:cs="宋体"/>
          <w:kern w:val="0"/>
          <w:sz w:val="24"/>
        </w:rPr>
      </w:pPr>
      <w:r>
        <w:rPr>
          <w:rFonts w:hint="eastAsia" w:ascii="宋体" w:hAnsi="宋体" w:cs="宋体"/>
          <w:kern w:val="0"/>
          <w:sz w:val="27"/>
          <w:szCs w:val="27"/>
          <w:u w:val="single"/>
        </w:rPr>
        <w:t xml:space="preserve"> 0 </w:t>
      </w:r>
      <w:r>
        <w:rPr>
          <w:rFonts w:hint="eastAsia" w:ascii="宋体" w:hAnsi="宋体" w:cs="宋体"/>
          <w:kern w:val="0"/>
          <w:sz w:val="27"/>
          <w:szCs w:val="27"/>
        </w:rPr>
        <w:t>%，变动原因：我单位无购车计划。</w:t>
      </w:r>
    </w:p>
    <w:p w14:paraId="6686F3FF">
      <w:pPr>
        <w:widowControl/>
        <w:rPr>
          <w:rFonts w:hint="eastAsia" w:ascii="宋体" w:hAnsi="宋体" w:cs="宋体"/>
          <w:kern w:val="0"/>
          <w:sz w:val="24"/>
        </w:rPr>
      </w:pPr>
      <w:r>
        <w:rPr>
          <w:rFonts w:hint="eastAsia" w:ascii="宋体" w:hAnsi="宋体" w:cs="宋体"/>
          <w:kern w:val="0"/>
          <w:sz w:val="27"/>
          <w:szCs w:val="27"/>
        </w:rPr>
        <w:t>  （2）公务用车运行维护费支出</w:t>
      </w:r>
      <w:r>
        <w:rPr>
          <w:rFonts w:hint="eastAsia" w:ascii="宋体" w:hAnsi="宋体" w:cs="宋体"/>
          <w:kern w:val="0"/>
          <w:sz w:val="27"/>
          <w:szCs w:val="27"/>
          <w:u w:val="single"/>
        </w:rPr>
        <w:t xml:space="preserve"> 10.00</w:t>
      </w:r>
      <w:r>
        <w:rPr>
          <w:rFonts w:hint="eastAsia" w:ascii="宋体" w:hAnsi="宋体" w:cs="宋体"/>
          <w:kern w:val="0"/>
          <w:sz w:val="27"/>
          <w:szCs w:val="27"/>
        </w:rPr>
        <w:t>万元。公务用车运行维护费主要用于按规定保留的公务用车的燃料费、维修费、过桥过路费、保险费、安全奖励费用等支出。截至2023年12月31日，使用财政拨款开支的公务用车保有量为</w:t>
      </w:r>
      <w:r>
        <w:rPr>
          <w:rFonts w:hint="eastAsia" w:ascii="宋体" w:hAnsi="宋体" w:cs="宋体"/>
          <w:kern w:val="0"/>
          <w:sz w:val="27"/>
          <w:szCs w:val="27"/>
          <w:u w:val="single"/>
        </w:rPr>
        <w:t xml:space="preserve"> 22 </w:t>
      </w:r>
      <w:r>
        <w:rPr>
          <w:rFonts w:hint="eastAsia" w:ascii="宋体" w:hAnsi="宋体" w:cs="宋体"/>
          <w:kern w:val="0"/>
          <w:sz w:val="27"/>
          <w:szCs w:val="27"/>
        </w:rPr>
        <w:t>辆。与上年决算相比，减少</w:t>
      </w:r>
      <w:r>
        <w:rPr>
          <w:rFonts w:hint="eastAsia" w:ascii="宋体" w:hAnsi="宋体" w:cs="宋体"/>
          <w:kern w:val="0"/>
          <w:sz w:val="27"/>
          <w:szCs w:val="27"/>
          <w:u w:val="single"/>
        </w:rPr>
        <w:t>30.00</w:t>
      </w:r>
      <w:r>
        <w:rPr>
          <w:rFonts w:hint="eastAsia" w:ascii="宋体" w:hAnsi="宋体" w:cs="宋体"/>
          <w:kern w:val="0"/>
          <w:sz w:val="27"/>
          <w:szCs w:val="27"/>
        </w:rPr>
        <w:t>万元，减少</w:t>
      </w:r>
      <w:r>
        <w:rPr>
          <w:rFonts w:hint="eastAsia" w:ascii="宋体" w:hAnsi="宋体" w:cs="宋体"/>
          <w:kern w:val="0"/>
          <w:sz w:val="27"/>
          <w:szCs w:val="27"/>
          <w:u w:val="single"/>
        </w:rPr>
        <w:t xml:space="preserve">  75.00</w:t>
      </w:r>
      <w:r>
        <w:rPr>
          <w:rFonts w:hint="eastAsia" w:ascii="宋体" w:hAnsi="宋体" w:cs="宋体"/>
          <w:kern w:val="0"/>
          <w:sz w:val="27"/>
          <w:szCs w:val="27"/>
        </w:rPr>
        <w:t>%，变动原因：本年公务用车运行维护费一部分使用经营资金支出。</w:t>
      </w:r>
    </w:p>
    <w:p w14:paraId="624B6B2E">
      <w:pPr>
        <w:widowControl/>
        <w:rPr>
          <w:rFonts w:eastAsia="Times New Roman"/>
          <w:kern w:val="0"/>
          <w:sz w:val="24"/>
        </w:rPr>
      </w:pPr>
      <w:r>
        <w:rPr>
          <w:rFonts w:hint="eastAsia" w:ascii="宋体" w:hAnsi="宋体" w:cs="宋体"/>
          <w:kern w:val="0"/>
          <w:sz w:val="27"/>
          <w:szCs w:val="27"/>
        </w:rPr>
        <w:t>   3.公务接待费支出</w:t>
      </w:r>
      <w:r>
        <w:rPr>
          <w:rFonts w:hint="eastAsia" w:ascii="宋体" w:hAnsi="宋体" w:cs="宋体"/>
          <w:kern w:val="0"/>
          <w:sz w:val="27"/>
          <w:szCs w:val="27"/>
          <w:u w:val="single"/>
        </w:rPr>
        <w:t xml:space="preserve"> 0.00</w:t>
      </w:r>
      <w:r>
        <w:rPr>
          <w:rFonts w:hint="eastAsia" w:ascii="宋体" w:hAnsi="宋体" w:cs="宋体"/>
          <w:kern w:val="0"/>
          <w:sz w:val="27"/>
          <w:szCs w:val="27"/>
        </w:rPr>
        <w:t>万元。其中：国内公务接待支出</w:t>
      </w:r>
      <w:r>
        <w:rPr>
          <w:rFonts w:hint="eastAsia" w:ascii="宋体" w:hAnsi="宋体" w:cs="宋体"/>
          <w:kern w:val="0"/>
          <w:sz w:val="27"/>
          <w:szCs w:val="27"/>
          <w:u w:val="single"/>
        </w:rPr>
        <w:t xml:space="preserve"> 0.00</w:t>
      </w:r>
      <w:r>
        <w:rPr>
          <w:rFonts w:hint="eastAsia" w:ascii="宋体" w:hAnsi="宋体" w:cs="宋体"/>
          <w:kern w:val="0"/>
          <w:sz w:val="27"/>
          <w:szCs w:val="27"/>
        </w:rPr>
        <w:t>万元，接待</w:t>
      </w:r>
      <w:r>
        <w:rPr>
          <w:rFonts w:hint="eastAsia" w:ascii="宋体" w:hAnsi="宋体" w:cs="宋体"/>
          <w:kern w:val="0"/>
          <w:sz w:val="27"/>
          <w:szCs w:val="27"/>
          <w:u w:val="single"/>
        </w:rPr>
        <w:t xml:space="preserve"> 0 </w:t>
      </w:r>
      <w:r>
        <w:rPr>
          <w:rFonts w:hint="eastAsia" w:ascii="宋体" w:hAnsi="宋体" w:cs="宋体"/>
          <w:kern w:val="0"/>
          <w:sz w:val="27"/>
          <w:szCs w:val="27"/>
        </w:rPr>
        <w:t>批次，</w:t>
      </w:r>
      <w:r>
        <w:rPr>
          <w:rFonts w:hint="eastAsia" w:ascii="宋体" w:hAnsi="宋体" w:cs="宋体"/>
          <w:kern w:val="0"/>
          <w:sz w:val="27"/>
          <w:szCs w:val="27"/>
          <w:u w:val="single"/>
        </w:rPr>
        <w:t xml:space="preserve"> 0 </w:t>
      </w:r>
      <w:r>
        <w:rPr>
          <w:rFonts w:hint="eastAsia" w:ascii="宋体" w:hAnsi="宋体" w:cs="宋体"/>
          <w:kern w:val="0"/>
          <w:sz w:val="27"/>
          <w:szCs w:val="27"/>
        </w:rPr>
        <w:t>人次，开支内容：我单位无此项支出；国（境）外公务接待支出</w:t>
      </w:r>
      <w:r>
        <w:rPr>
          <w:rFonts w:hint="eastAsia" w:ascii="宋体" w:hAnsi="宋体" w:cs="宋体"/>
          <w:kern w:val="0"/>
          <w:sz w:val="27"/>
          <w:szCs w:val="27"/>
          <w:u w:val="single"/>
        </w:rPr>
        <w:t xml:space="preserve"> 0.00</w:t>
      </w:r>
      <w:r>
        <w:rPr>
          <w:rFonts w:hint="eastAsia" w:ascii="宋体" w:hAnsi="宋体" w:cs="宋体"/>
          <w:kern w:val="0"/>
          <w:sz w:val="27"/>
          <w:szCs w:val="27"/>
        </w:rPr>
        <w:t>万元，接待</w:t>
      </w:r>
      <w:r>
        <w:rPr>
          <w:rFonts w:hint="eastAsia" w:ascii="宋体" w:hAnsi="宋体" w:cs="宋体"/>
          <w:kern w:val="0"/>
          <w:sz w:val="27"/>
          <w:szCs w:val="27"/>
          <w:u w:val="single"/>
        </w:rPr>
        <w:t xml:space="preserve"> 0 </w:t>
      </w:r>
      <w:r>
        <w:rPr>
          <w:rFonts w:hint="eastAsia" w:ascii="宋体" w:hAnsi="宋体" w:cs="宋体"/>
          <w:kern w:val="0"/>
          <w:sz w:val="27"/>
          <w:szCs w:val="27"/>
        </w:rPr>
        <w:t>批次，</w:t>
      </w:r>
      <w:r>
        <w:rPr>
          <w:rFonts w:hint="eastAsia" w:ascii="宋体" w:hAnsi="宋体" w:cs="宋体"/>
          <w:kern w:val="0"/>
          <w:sz w:val="27"/>
          <w:szCs w:val="27"/>
          <w:u w:val="single"/>
        </w:rPr>
        <w:t xml:space="preserve"> 0 </w:t>
      </w:r>
      <w:r>
        <w:rPr>
          <w:rFonts w:hint="eastAsia" w:ascii="宋体" w:hAnsi="宋体" w:cs="宋体"/>
          <w:kern w:val="0"/>
          <w:sz w:val="27"/>
          <w:szCs w:val="27"/>
        </w:rPr>
        <w:t>人次，开支内容：我单位无此项支出。与上年决算相比，增加</w:t>
      </w:r>
      <w:r>
        <w:rPr>
          <w:rFonts w:hint="eastAsia" w:ascii="宋体" w:hAnsi="宋体" w:cs="宋体"/>
          <w:kern w:val="0"/>
          <w:sz w:val="27"/>
          <w:szCs w:val="27"/>
          <w:u w:val="single"/>
        </w:rPr>
        <w:t xml:space="preserve"> 0.00</w:t>
      </w:r>
      <w:r>
        <w:rPr>
          <w:rFonts w:hint="eastAsia" w:ascii="宋体" w:hAnsi="宋体" w:cs="宋体"/>
          <w:kern w:val="0"/>
          <w:sz w:val="27"/>
          <w:szCs w:val="27"/>
        </w:rPr>
        <w:t>万元，增长</w:t>
      </w:r>
      <w:r>
        <w:rPr>
          <w:rFonts w:hint="eastAsia" w:ascii="宋体" w:hAnsi="宋体" w:cs="宋体"/>
          <w:kern w:val="0"/>
          <w:sz w:val="27"/>
          <w:szCs w:val="27"/>
          <w:u w:val="single"/>
        </w:rPr>
        <w:t>0</w:t>
      </w:r>
      <w:r>
        <w:rPr>
          <w:rFonts w:hint="eastAsia" w:ascii="宋体" w:hAnsi="宋体" w:cs="宋体"/>
          <w:kern w:val="0"/>
          <w:sz w:val="27"/>
          <w:szCs w:val="27"/>
        </w:rPr>
        <w:t>%，变动原因：我单位无此项支出。</w:t>
      </w:r>
    </w:p>
    <w:p w14:paraId="025BB2FC">
      <w:pPr>
        <w:widowControl/>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黑体" w:hAnsi="黑体" w:eastAsia="黑体" w:cs="黑体"/>
          <w:b/>
          <w:bCs/>
          <w:kern w:val="0"/>
          <w:sz w:val="27"/>
          <w:szCs w:val="27"/>
        </w:rPr>
        <w:t xml:space="preserve"> </w:t>
      </w:r>
      <w:r>
        <w:rPr>
          <w:rFonts w:ascii="黑体" w:hAnsi="黑体" w:eastAsia="黑体" w:cs="黑体"/>
          <w:b/>
          <w:bCs/>
          <w:kern w:val="0"/>
          <w:sz w:val="27"/>
          <w:szCs w:val="27"/>
        </w:rPr>
        <w:t>九、政府性基金预算财政拨款支出决算情况说明</w:t>
      </w:r>
    </w:p>
    <w:p w14:paraId="12EE16E9">
      <w:pPr>
        <w:widowControl/>
        <w:rPr>
          <w:rFonts w:eastAsia="Times New Roman"/>
          <w:kern w:val="0"/>
          <w:sz w:val="24"/>
        </w:rPr>
      </w:pPr>
      <w:r>
        <w:rPr>
          <w:rFonts w:ascii="fang_song_gb2312" w:hAnsi="fang_song_gb2312" w:eastAsia="fang_song_gb2312" w:cs="fang_song_gb2312"/>
          <w:color w:val="0E00FE"/>
          <w:kern w:val="0"/>
          <w:sz w:val="27"/>
          <w:szCs w:val="27"/>
        </w:rPr>
        <w:t>   </w:t>
      </w:r>
      <w:r>
        <w:rPr>
          <w:rFonts w:ascii="fang_song_gb2312" w:hAnsi="fang_song_gb2312" w:eastAsia="fang_song_gb2312" w:cs="fang_song_gb2312"/>
          <w:kern w:val="0"/>
          <w:sz w:val="27"/>
          <w:szCs w:val="27"/>
        </w:rPr>
        <w:t xml:space="preserve"> </w:t>
      </w:r>
      <w:r>
        <w:rPr>
          <w:rFonts w:hint="eastAsia" w:ascii="宋体" w:hAnsi="宋体" w:cs="宋体"/>
          <w:kern w:val="0"/>
          <w:sz w:val="27"/>
          <w:szCs w:val="27"/>
        </w:rPr>
        <w:t>内蒙古自治区特种设备检验研究院巴彦淖尔分院 2023年度政府性基金预算财政拨款支出决算</w:t>
      </w:r>
      <w:r>
        <w:rPr>
          <w:rFonts w:hint="eastAsia" w:ascii="宋体" w:hAnsi="宋体" w:cs="宋体"/>
          <w:kern w:val="0"/>
          <w:sz w:val="27"/>
          <w:szCs w:val="27"/>
          <w:u w:val="single"/>
        </w:rPr>
        <w:t xml:space="preserve"> 0.00</w:t>
      </w:r>
      <w:r>
        <w:rPr>
          <w:rFonts w:hint="eastAsia" w:ascii="宋体" w:hAnsi="宋体" w:cs="宋体"/>
          <w:kern w:val="0"/>
          <w:sz w:val="27"/>
          <w:szCs w:val="27"/>
        </w:rPr>
        <w:t>万元。与上年决算相比，增加</w:t>
      </w:r>
      <w:r>
        <w:rPr>
          <w:rFonts w:hint="eastAsia" w:ascii="宋体" w:hAnsi="宋体" w:cs="宋体"/>
          <w:kern w:val="0"/>
          <w:sz w:val="27"/>
          <w:szCs w:val="27"/>
          <w:u w:val="single"/>
        </w:rPr>
        <w:t xml:space="preserve"> 0.00</w:t>
      </w:r>
      <w:r>
        <w:rPr>
          <w:rFonts w:hint="eastAsia" w:ascii="宋体" w:hAnsi="宋体" w:cs="宋体"/>
          <w:kern w:val="0"/>
          <w:sz w:val="27"/>
          <w:szCs w:val="27"/>
        </w:rPr>
        <w:t>万元，增长</w:t>
      </w:r>
      <w:r>
        <w:rPr>
          <w:rFonts w:hint="eastAsia" w:ascii="宋体" w:hAnsi="宋体" w:cs="宋体"/>
          <w:kern w:val="0"/>
          <w:sz w:val="27"/>
          <w:szCs w:val="27"/>
          <w:u w:val="single"/>
        </w:rPr>
        <w:t xml:space="preserve"> 0 </w:t>
      </w:r>
      <w:r>
        <w:rPr>
          <w:rFonts w:hint="eastAsia" w:ascii="宋体" w:hAnsi="宋体" w:cs="宋体"/>
          <w:kern w:val="0"/>
          <w:sz w:val="27"/>
          <w:szCs w:val="27"/>
        </w:rPr>
        <w:t>%，变动原因：我单位无政府性基金预算财政拨款收、支、余。</w:t>
      </w:r>
    </w:p>
    <w:p w14:paraId="52F1A650">
      <w:pPr>
        <w:widowControl/>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十、国有资本经营预算财政拨款支出决算情况说明</w:t>
      </w:r>
    </w:p>
    <w:p w14:paraId="1B86285A">
      <w:pPr>
        <w:widowControl/>
        <w:rPr>
          <w:rFonts w:hint="eastAsia" w:ascii="宋体" w:hAnsi="宋体" w:cs="宋体"/>
          <w:kern w:val="0"/>
          <w:sz w:val="24"/>
        </w:rPr>
      </w:pPr>
      <w:r>
        <w:rPr>
          <w:rFonts w:ascii="fang_song_gb2312" w:hAnsi="fang_song_gb2312" w:eastAsia="fang_song_gb2312" w:cs="fang_song_gb2312"/>
          <w:color w:val="0E00FE"/>
          <w:kern w:val="0"/>
          <w:sz w:val="27"/>
          <w:szCs w:val="27"/>
        </w:rPr>
        <w:t>   </w:t>
      </w:r>
      <w:r>
        <w:rPr>
          <w:rFonts w:ascii="fang_song_gb2312" w:hAnsi="fang_song_gb2312" w:eastAsia="fang_song_gb2312" w:cs="fang_song_gb2312"/>
          <w:kern w:val="0"/>
          <w:sz w:val="27"/>
          <w:szCs w:val="27"/>
        </w:rPr>
        <w:t> </w:t>
      </w:r>
      <w:r>
        <w:rPr>
          <w:rFonts w:hint="eastAsia" w:ascii="fang_song_gb2312" w:hAnsi="fang_song_gb2312" w:cs="fang_song_gb2312"/>
          <w:kern w:val="0"/>
          <w:sz w:val="27"/>
          <w:szCs w:val="27"/>
        </w:rPr>
        <w:t xml:space="preserve"> </w:t>
      </w:r>
      <w:r>
        <w:rPr>
          <w:rFonts w:hint="eastAsia" w:ascii="宋体" w:hAnsi="宋体" w:cs="宋体"/>
          <w:kern w:val="0"/>
          <w:sz w:val="27"/>
          <w:szCs w:val="27"/>
        </w:rPr>
        <w:t>内蒙古自治区特种设备检验研究院巴彦淖尔分院 2023年度国有资本经营预算财政拨款支出决算</w:t>
      </w:r>
      <w:r>
        <w:rPr>
          <w:rFonts w:hint="eastAsia" w:ascii="宋体" w:hAnsi="宋体" w:cs="宋体"/>
          <w:kern w:val="0"/>
          <w:sz w:val="27"/>
          <w:szCs w:val="27"/>
          <w:u w:val="single"/>
        </w:rPr>
        <w:t xml:space="preserve"> 0.00</w:t>
      </w:r>
      <w:r>
        <w:rPr>
          <w:rFonts w:hint="eastAsia" w:ascii="宋体" w:hAnsi="宋体" w:cs="宋体"/>
          <w:kern w:val="0"/>
          <w:sz w:val="27"/>
          <w:szCs w:val="27"/>
        </w:rPr>
        <w:t>万元。与上年决算相比，增加</w:t>
      </w:r>
      <w:r>
        <w:rPr>
          <w:rFonts w:hint="eastAsia" w:ascii="宋体" w:hAnsi="宋体" w:cs="宋体"/>
          <w:kern w:val="0"/>
          <w:sz w:val="27"/>
          <w:szCs w:val="27"/>
          <w:u w:val="single"/>
        </w:rPr>
        <w:t xml:space="preserve"> 0.00</w:t>
      </w:r>
      <w:r>
        <w:rPr>
          <w:rFonts w:hint="eastAsia" w:ascii="宋体" w:hAnsi="宋体" w:cs="宋体"/>
          <w:kern w:val="0"/>
          <w:sz w:val="27"/>
          <w:szCs w:val="27"/>
        </w:rPr>
        <w:t>万元，增长</w:t>
      </w:r>
      <w:r>
        <w:rPr>
          <w:rFonts w:hint="eastAsia" w:ascii="宋体" w:hAnsi="宋体" w:cs="宋体"/>
          <w:kern w:val="0"/>
          <w:sz w:val="27"/>
          <w:szCs w:val="27"/>
          <w:u w:val="single"/>
        </w:rPr>
        <w:t xml:space="preserve"> 0  </w:t>
      </w:r>
      <w:r>
        <w:rPr>
          <w:rFonts w:hint="eastAsia" w:ascii="宋体" w:hAnsi="宋体" w:cs="宋体"/>
          <w:kern w:val="0"/>
          <w:sz w:val="27"/>
          <w:szCs w:val="27"/>
        </w:rPr>
        <w:t>%，变动原因：我单位无国有资本经营预算财政拨款收、支、余。</w:t>
      </w:r>
    </w:p>
    <w:p w14:paraId="04C6BDA5">
      <w:pPr>
        <w:widowControl/>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十一、机构运行经费支出决算情况说明</w:t>
      </w:r>
    </w:p>
    <w:p w14:paraId="57661837">
      <w:pPr>
        <w:widowControl/>
        <w:rPr>
          <w:rFonts w:eastAsia="Times New Roman"/>
          <w:kern w:val="0"/>
          <w:sz w:val="24"/>
        </w:rPr>
      </w:pPr>
      <w:r>
        <w:rPr>
          <w:rFonts w:ascii="fang_song_gb2312" w:hAnsi="fang_song_gb2312" w:eastAsia="fang_song_gb2312" w:cs="fang_song_gb2312"/>
          <w:kern w:val="0"/>
          <w:sz w:val="27"/>
          <w:szCs w:val="27"/>
        </w:rPr>
        <w:t>   </w:t>
      </w:r>
      <w:r>
        <w:rPr>
          <w:rFonts w:hint="eastAsia" w:ascii="宋体" w:hAnsi="宋体" w:cs="宋体"/>
          <w:kern w:val="0"/>
          <w:sz w:val="27"/>
          <w:szCs w:val="27"/>
        </w:rPr>
        <w:t xml:space="preserve"> 内蒙古自治区特种设备检验研究院巴彦淖尔分院 2023年度机构运行经费支出决算</w:t>
      </w:r>
      <w:r>
        <w:rPr>
          <w:rFonts w:hint="eastAsia" w:ascii="宋体" w:hAnsi="宋体" w:cs="宋体"/>
          <w:kern w:val="0"/>
          <w:sz w:val="27"/>
          <w:szCs w:val="27"/>
          <w:u w:val="single"/>
        </w:rPr>
        <w:t xml:space="preserve"> 0.32</w:t>
      </w:r>
      <w:r>
        <w:rPr>
          <w:rFonts w:hint="eastAsia" w:ascii="宋体" w:hAnsi="宋体" w:cs="宋体"/>
          <w:kern w:val="0"/>
          <w:sz w:val="27"/>
          <w:szCs w:val="27"/>
        </w:rPr>
        <w:t>万元。比上年决算相比，增加</w:t>
      </w:r>
      <w:r>
        <w:rPr>
          <w:rFonts w:hint="eastAsia" w:ascii="宋体" w:hAnsi="宋体" w:cs="宋体"/>
          <w:kern w:val="0"/>
          <w:sz w:val="27"/>
          <w:szCs w:val="27"/>
          <w:u w:val="single"/>
        </w:rPr>
        <w:t xml:space="preserve"> 0.03</w:t>
      </w:r>
      <w:r>
        <w:rPr>
          <w:rFonts w:hint="eastAsia" w:ascii="宋体" w:hAnsi="宋体" w:cs="宋体"/>
          <w:kern w:val="0"/>
          <w:sz w:val="27"/>
          <w:szCs w:val="27"/>
        </w:rPr>
        <w:t>万元，增长</w:t>
      </w:r>
      <w:r>
        <w:rPr>
          <w:rFonts w:hint="eastAsia" w:ascii="宋体" w:hAnsi="宋体" w:cs="宋体"/>
          <w:kern w:val="0"/>
          <w:sz w:val="27"/>
          <w:szCs w:val="27"/>
          <w:u w:val="single"/>
        </w:rPr>
        <w:t xml:space="preserve"> 9.09</w:t>
      </w:r>
      <w:r>
        <w:rPr>
          <w:rFonts w:hint="eastAsia" w:ascii="宋体" w:hAnsi="宋体" w:cs="宋体"/>
          <w:kern w:val="0"/>
          <w:sz w:val="27"/>
          <w:szCs w:val="27"/>
        </w:rPr>
        <w:t>%，变动原因：增加幅度较小，增加费用属于合理增长。</w:t>
      </w:r>
    </w:p>
    <w:p w14:paraId="02BBD571">
      <w:pPr>
        <w:widowControl/>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十二、政府采购支出决算情况说明</w:t>
      </w:r>
    </w:p>
    <w:p w14:paraId="7AF81342">
      <w:pPr>
        <w:widowControl/>
        <w:rPr>
          <w:rFonts w:eastAsia="Times New Roman"/>
          <w:kern w:val="0"/>
          <w:sz w:val="24"/>
        </w:rPr>
      </w:pPr>
      <w:r>
        <w:rPr>
          <w:rFonts w:ascii="fang_song_gb2312" w:hAnsi="fang_song_gb2312" w:eastAsia="fang_song_gb2312" w:cs="fang_song_gb2312"/>
          <w:kern w:val="0"/>
          <w:sz w:val="27"/>
          <w:szCs w:val="27"/>
        </w:rPr>
        <w:t xml:space="preserve">    </w:t>
      </w:r>
      <w:r>
        <w:rPr>
          <w:rFonts w:hint="eastAsia" w:ascii="宋体" w:hAnsi="宋体" w:cs="宋体"/>
          <w:kern w:val="0"/>
          <w:sz w:val="27"/>
          <w:szCs w:val="27"/>
        </w:rPr>
        <w:t>内蒙古自治区特种设备检验研究院巴彦淖尔分院 2023年度政府采购支出总额</w:t>
      </w:r>
      <w:r>
        <w:rPr>
          <w:rFonts w:hint="eastAsia" w:ascii="宋体" w:hAnsi="宋体" w:cs="宋体"/>
          <w:kern w:val="0"/>
          <w:sz w:val="27"/>
          <w:szCs w:val="27"/>
          <w:u w:val="single"/>
        </w:rPr>
        <w:t xml:space="preserve"> 152.79</w:t>
      </w:r>
      <w:r>
        <w:rPr>
          <w:rFonts w:hint="eastAsia" w:ascii="宋体" w:hAnsi="宋体" w:cs="宋体"/>
          <w:kern w:val="0"/>
          <w:sz w:val="27"/>
          <w:szCs w:val="27"/>
        </w:rPr>
        <w:t>万元，其中：政府采购货物支出</w:t>
      </w:r>
      <w:r>
        <w:rPr>
          <w:rFonts w:hint="eastAsia" w:ascii="宋体" w:hAnsi="宋体" w:cs="宋体"/>
          <w:kern w:val="0"/>
          <w:sz w:val="27"/>
          <w:szCs w:val="27"/>
          <w:u w:val="single"/>
        </w:rPr>
        <w:t xml:space="preserve"> 70.50</w:t>
      </w:r>
      <w:r>
        <w:rPr>
          <w:rFonts w:hint="eastAsia" w:ascii="宋体" w:hAnsi="宋体" w:cs="宋体"/>
          <w:kern w:val="0"/>
          <w:sz w:val="27"/>
          <w:szCs w:val="27"/>
        </w:rPr>
        <w:t>万元、政府采购工程支出</w:t>
      </w:r>
      <w:r>
        <w:rPr>
          <w:rFonts w:hint="eastAsia" w:ascii="宋体" w:hAnsi="宋体" w:cs="宋体"/>
          <w:kern w:val="0"/>
          <w:sz w:val="27"/>
          <w:szCs w:val="27"/>
          <w:u w:val="single"/>
        </w:rPr>
        <w:t xml:space="preserve"> 0.00</w:t>
      </w:r>
      <w:r>
        <w:rPr>
          <w:rFonts w:hint="eastAsia" w:ascii="宋体" w:hAnsi="宋体" w:cs="宋体"/>
          <w:kern w:val="0"/>
          <w:sz w:val="27"/>
          <w:szCs w:val="27"/>
        </w:rPr>
        <w:t>万元、政府采购服务支出</w:t>
      </w:r>
      <w:r>
        <w:rPr>
          <w:rFonts w:hint="eastAsia" w:ascii="宋体" w:hAnsi="宋体" w:cs="宋体"/>
          <w:kern w:val="0"/>
          <w:sz w:val="27"/>
          <w:szCs w:val="27"/>
          <w:u w:val="single"/>
        </w:rPr>
        <w:t xml:space="preserve"> 82.29</w:t>
      </w:r>
      <w:r>
        <w:rPr>
          <w:rFonts w:hint="eastAsia" w:ascii="宋体" w:hAnsi="宋体" w:cs="宋体"/>
          <w:kern w:val="0"/>
          <w:sz w:val="27"/>
          <w:szCs w:val="27"/>
        </w:rPr>
        <w:t>万元。政府采购授予中小企业合同金额</w:t>
      </w:r>
      <w:r>
        <w:rPr>
          <w:rFonts w:hint="eastAsia" w:ascii="宋体" w:hAnsi="宋体" w:cs="宋体"/>
          <w:kern w:val="0"/>
          <w:sz w:val="27"/>
          <w:szCs w:val="27"/>
          <w:u w:val="single"/>
        </w:rPr>
        <w:t xml:space="preserve"> 69.18</w:t>
      </w:r>
      <w:r>
        <w:rPr>
          <w:rFonts w:hint="eastAsia" w:ascii="宋体" w:hAnsi="宋体" w:cs="宋体"/>
          <w:kern w:val="0"/>
          <w:sz w:val="27"/>
          <w:szCs w:val="27"/>
        </w:rPr>
        <w:t>万元，占政府采购支出总额的</w:t>
      </w:r>
      <w:r>
        <w:rPr>
          <w:rFonts w:hint="eastAsia" w:ascii="宋体" w:hAnsi="宋体" w:cs="宋体"/>
          <w:kern w:val="0"/>
          <w:sz w:val="27"/>
          <w:szCs w:val="27"/>
          <w:u w:val="single"/>
        </w:rPr>
        <w:t>45.28</w:t>
      </w:r>
      <w:r>
        <w:rPr>
          <w:rFonts w:hint="eastAsia" w:ascii="宋体" w:hAnsi="宋体" w:cs="宋体"/>
          <w:kern w:val="0"/>
          <w:sz w:val="27"/>
          <w:szCs w:val="27"/>
        </w:rPr>
        <w:t>%，其中：授予小微企业合同金额</w:t>
      </w:r>
      <w:r>
        <w:rPr>
          <w:rFonts w:hint="eastAsia" w:ascii="宋体" w:hAnsi="宋体" w:cs="宋体"/>
          <w:kern w:val="0"/>
          <w:sz w:val="27"/>
          <w:szCs w:val="27"/>
          <w:u w:val="single"/>
        </w:rPr>
        <w:t>  69.18</w:t>
      </w:r>
      <w:r>
        <w:rPr>
          <w:rFonts w:hint="eastAsia" w:ascii="宋体" w:hAnsi="宋体" w:cs="宋体"/>
          <w:kern w:val="0"/>
          <w:sz w:val="27"/>
          <w:szCs w:val="27"/>
        </w:rPr>
        <w:t>万元，占政府采购支出总额的</w:t>
      </w:r>
      <w:r>
        <w:rPr>
          <w:rFonts w:hint="eastAsia" w:ascii="宋体" w:hAnsi="宋体" w:cs="宋体"/>
          <w:kern w:val="0"/>
          <w:sz w:val="27"/>
          <w:szCs w:val="27"/>
          <w:u w:val="single"/>
        </w:rPr>
        <w:t>45.28</w:t>
      </w:r>
      <w:r>
        <w:rPr>
          <w:rFonts w:hint="eastAsia" w:ascii="宋体" w:hAnsi="宋体" w:cs="宋体"/>
          <w:kern w:val="0"/>
          <w:sz w:val="27"/>
          <w:szCs w:val="27"/>
        </w:rPr>
        <w:t>%；货物采购授予中小企业合同金额占货物支出金额的</w:t>
      </w:r>
      <w:r>
        <w:rPr>
          <w:rFonts w:hint="eastAsia" w:ascii="宋体" w:hAnsi="宋体" w:cs="宋体"/>
          <w:kern w:val="0"/>
          <w:sz w:val="27"/>
          <w:szCs w:val="27"/>
          <w:u w:val="single"/>
        </w:rPr>
        <w:t>0</w:t>
      </w:r>
      <w:r>
        <w:rPr>
          <w:rFonts w:hint="eastAsia" w:ascii="宋体" w:hAnsi="宋体" w:cs="宋体"/>
          <w:kern w:val="0"/>
          <w:sz w:val="27"/>
          <w:szCs w:val="27"/>
        </w:rPr>
        <w:t>%，工程采购授予中小企业合同金额占工程支出金额的</w:t>
      </w:r>
      <w:r>
        <w:rPr>
          <w:rFonts w:hint="eastAsia" w:ascii="宋体" w:hAnsi="宋体" w:cs="宋体"/>
          <w:kern w:val="0"/>
          <w:sz w:val="27"/>
          <w:szCs w:val="27"/>
          <w:u w:val="single"/>
        </w:rPr>
        <w:t>0</w:t>
      </w:r>
      <w:r>
        <w:rPr>
          <w:rFonts w:hint="eastAsia" w:ascii="宋体" w:hAnsi="宋体" w:cs="宋体"/>
          <w:kern w:val="0"/>
          <w:sz w:val="27"/>
          <w:szCs w:val="27"/>
        </w:rPr>
        <w:t>%，服务采购授予中小企业合同金额占服务支出金额的</w:t>
      </w:r>
      <w:r>
        <w:rPr>
          <w:rFonts w:hint="eastAsia" w:ascii="宋体" w:hAnsi="宋体" w:cs="宋体"/>
          <w:kern w:val="0"/>
          <w:sz w:val="27"/>
          <w:szCs w:val="27"/>
          <w:u w:val="single"/>
        </w:rPr>
        <w:t>0</w:t>
      </w:r>
      <w:r>
        <w:rPr>
          <w:rFonts w:hint="eastAsia" w:ascii="宋体" w:hAnsi="宋体" w:cs="宋体"/>
          <w:kern w:val="0"/>
          <w:sz w:val="27"/>
          <w:szCs w:val="27"/>
        </w:rPr>
        <w:t>%。</w:t>
      </w:r>
    </w:p>
    <w:p w14:paraId="1A07C890">
      <w:pPr>
        <w:widowControl/>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十三、国有资产占用情况说明</w:t>
      </w:r>
    </w:p>
    <w:p w14:paraId="37A5F0FD">
      <w:pPr>
        <w:widowControl/>
        <w:rPr>
          <w:rFonts w:eastAsia="Times New Roman"/>
          <w:kern w:val="0"/>
          <w:sz w:val="24"/>
        </w:rPr>
      </w:pPr>
      <w:r>
        <w:rPr>
          <w:rFonts w:ascii="fang_song_gb2312" w:hAnsi="fang_song_gb2312" w:eastAsia="fang_song_gb2312" w:cs="fang_song_gb2312"/>
          <w:kern w:val="0"/>
          <w:sz w:val="27"/>
          <w:szCs w:val="27"/>
        </w:rPr>
        <w:t xml:space="preserve">    </w:t>
      </w:r>
      <w:r>
        <w:rPr>
          <w:rFonts w:hint="eastAsia" w:ascii="宋体" w:hAnsi="宋体" w:cs="宋体"/>
          <w:kern w:val="0"/>
          <w:sz w:val="27"/>
          <w:szCs w:val="27"/>
        </w:rPr>
        <w:t>内蒙古自治区特种设备检验研究院巴彦淖尔分院 截至2023年12月31日，本单位共有车辆</w:t>
      </w:r>
      <w:r>
        <w:rPr>
          <w:rFonts w:hint="eastAsia" w:ascii="宋体" w:hAnsi="宋体" w:cs="宋体"/>
          <w:kern w:val="0"/>
          <w:sz w:val="27"/>
          <w:szCs w:val="27"/>
          <w:u w:val="single"/>
        </w:rPr>
        <w:t xml:space="preserve"> 22</w:t>
      </w:r>
      <w:r>
        <w:rPr>
          <w:rFonts w:hint="eastAsia" w:ascii="宋体" w:hAnsi="宋体" w:cs="宋体"/>
          <w:kern w:val="0"/>
          <w:sz w:val="27"/>
          <w:szCs w:val="27"/>
        </w:rPr>
        <w:t>辆，其中：副部（省）级及以上领导用车</w:t>
      </w:r>
      <w:r>
        <w:rPr>
          <w:rFonts w:hint="eastAsia" w:ascii="宋体" w:hAnsi="宋体" w:cs="宋体"/>
          <w:kern w:val="0"/>
          <w:sz w:val="27"/>
          <w:szCs w:val="27"/>
          <w:u w:val="single"/>
        </w:rPr>
        <w:t xml:space="preserve">0 </w:t>
      </w:r>
      <w:r>
        <w:rPr>
          <w:rFonts w:hint="eastAsia" w:ascii="宋体" w:hAnsi="宋体" w:cs="宋体"/>
          <w:kern w:val="0"/>
          <w:sz w:val="27"/>
          <w:szCs w:val="27"/>
        </w:rPr>
        <w:t>辆、主要负责人用车</w:t>
      </w:r>
      <w:r>
        <w:rPr>
          <w:rFonts w:hint="eastAsia" w:ascii="宋体" w:hAnsi="宋体" w:cs="宋体"/>
          <w:kern w:val="0"/>
          <w:sz w:val="27"/>
          <w:szCs w:val="27"/>
          <w:u w:val="single"/>
        </w:rPr>
        <w:t xml:space="preserve"> 0</w:t>
      </w:r>
      <w:r>
        <w:rPr>
          <w:rFonts w:hint="eastAsia" w:ascii="宋体" w:hAnsi="宋体" w:cs="宋体"/>
          <w:kern w:val="0"/>
          <w:sz w:val="27"/>
          <w:szCs w:val="27"/>
        </w:rPr>
        <w:t>辆、机要通信用车</w:t>
      </w:r>
      <w:r>
        <w:rPr>
          <w:rFonts w:hint="eastAsia" w:ascii="宋体" w:hAnsi="宋体" w:cs="宋体"/>
          <w:kern w:val="0"/>
          <w:sz w:val="27"/>
          <w:szCs w:val="27"/>
          <w:u w:val="single"/>
        </w:rPr>
        <w:t xml:space="preserve"> 0</w:t>
      </w:r>
      <w:r>
        <w:rPr>
          <w:rFonts w:hint="eastAsia" w:ascii="宋体" w:hAnsi="宋体" w:cs="宋体"/>
          <w:kern w:val="0"/>
          <w:sz w:val="27"/>
          <w:szCs w:val="27"/>
        </w:rPr>
        <w:t>辆、应急保障用车</w:t>
      </w:r>
      <w:r>
        <w:rPr>
          <w:rFonts w:hint="eastAsia" w:ascii="宋体" w:hAnsi="宋体" w:cs="宋体"/>
          <w:kern w:val="0"/>
          <w:sz w:val="27"/>
          <w:szCs w:val="27"/>
          <w:u w:val="single"/>
        </w:rPr>
        <w:t xml:space="preserve"> 0</w:t>
      </w:r>
      <w:r>
        <w:rPr>
          <w:rFonts w:hint="eastAsia" w:ascii="宋体" w:hAnsi="宋体" w:cs="宋体"/>
          <w:kern w:val="0"/>
          <w:sz w:val="27"/>
          <w:szCs w:val="27"/>
        </w:rPr>
        <w:t>辆、执法执勤用车</w:t>
      </w:r>
      <w:r>
        <w:rPr>
          <w:rFonts w:hint="eastAsia" w:ascii="宋体" w:hAnsi="宋体" w:cs="宋体"/>
          <w:kern w:val="0"/>
          <w:sz w:val="27"/>
          <w:szCs w:val="27"/>
          <w:u w:val="single"/>
        </w:rPr>
        <w:t xml:space="preserve"> 1</w:t>
      </w:r>
      <w:r>
        <w:rPr>
          <w:rFonts w:hint="eastAsia" w:ascii="宋体" w:hAnsi="宋体" w:cs="宋体"/>
          <w:kern w:val="0"/>
          <w:sz w:val="27"/>
          <w:szCs w:val="27"/>
        </w:rPr>
        <w:t>辆、特种专业技术用车</w:t>
      </w:r>
      <w:r>
        <w:rPr>
          <w:rFonts w:hint="eastAsia" w:ascii="宋体" w:hAnsi="宋体" w:cs="宋体"/>
          <w:kern w:val="0"/>
          <w:sz w:val="27"/>
          <w:szCs w:val="27"/>
          <w:u w:val="single"/>
        </w:rPr>
        <w:t xml:space="preserve"> 20</w:t>
      </w:r>
      <w:r>
        <w:rPr>
          <w:rFonts w:hint="eastAsia" w:ascii="宋体" w:hAnsi="宋体" w:cs="宋体"/>
          <w:kern w:val="0"/>
          <w:sz w:val="27"/>
          <w:szCs w:val="27"/>
        </w:rPr>
        <w:t>辆、离退休干部服务用车</w:t>
      </w:r>
      <w:r>
        <w:rPr>
          <w:rFonts w:hint="eastAsia" w:ascii="宋体" w:hAnsi="宋体" w:cs="宋体"/>
          <w:kern w:val="0"/>
          <w:sz w:val="27"/>
          <w:szCs w:val="27"/>
          <w:u w:val="single"/>
        </w:rPr>
        <w:t xml:space="preserve"> 0</w:t>
      </w:r>
      <w:r>
        <w:rPr>
          <w:rFonts w:hint="eastAsia" w:ascii="宋体" w:hAnsi="宋体" w:cs="宋体"/>
          <w:kern w:val="0"/>
          <w:sz w:val="27"/>
          <w:szCs w:val="27"/>
        </w:rPr>
        <w:t>辆，其他用车</w:t>
      </w:r>
      <w:r>
        <w:rPr>
          <w:rFonts w:hint="eastAsia" w:ascii="宋体" w:hAnsi="宋体" w:cs="宋体"/>
          <w:kern w:val="0"/>
          <w:sz w:val="27"/>
          <w:szCs w:val="27"/>
          <w:u w:val="single"/>
        </w:rPr>
        <w:t xml:space="preserve"> 1</w:t>
      </w:r>
      <w:r>
        <w:rPr>
          <w:rFonts w:hint="eastAsia" w:ascii="宋体" w:hAnsi="宋体" w:cs="宋体"/>
          <w:kern w:val="0"/>
          <w:sz w:val="27"/>
          <w:szCs w:val="27"/>
        </w:rPr>
        <w:t>辆；单价100万元（含）以上的设备（不含车辆）</w:t>
      </w:r>
      <w:r>
        <w:rPr>
          <w:rFonts w:hint="eastAsia" w:ascii="宋体" w:hAnsi="宋体" w:cs="宋体"/>
          <w:kern w:val="0"/>
          <w:sz w:val="27"/>
          <w:szCs w:val="27"/>
          <w:u w:val="single"/>
        </w:rPr>
        <w:t xml:space="preserve"> 1</w:t>
      </w:r>
      <w:r>
        <w:rPr>
          <w:rFonts w:hint="eastAsia" w:ascii="宋体" w:hAnsi="宋体" w:cs="宋体"/>
          <w:kern w:val="0"/>
          <w:sz w:val="27"/>
          <w:szCs w:val="27"/>
        </w:rPr>
        <w:t>台（套）。</w:t>
      </w:r>
    </w:p>
    <w:p w14:paraId="741AE7FC">
      <w:pPr>
        <w:widowControl/>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十四、预算绩效情况说明</w:t>
      </w:r>
    </w:p>
    <w:p w14:paraId="474292BA">
      <w:pPr>
        <w:widowControl/>
        <w:jc w:val="left"/>
        <w:rPr>
          <w:rFonts w:eastAsia="Times New Roman"/>
          <w:kern w:val="0"/>
          <w:sz w:val="24"/>
        </w:rPr>
      </w:pPr>
      <w:r>
        <w:rPr>
          <w:rFonts w:ascii="kai_ti_gb2312" w:hAnsi="kai_ti_gb2312" w:eastAsia="kai_ti_gb2312" w:cs="kai_ti_gb2312"/>
          <w:b/>
          <w:bCs/>
          <w:kern w:val="0"/>
          <w:sz w:val="27"/>
          <w:szCs w:val="27"/>
        </w:rPr>
        <w:t>    （一）预算绩效管理工作开展情况。</w:t>
      </w:r>
    </w:p>
    <w:p w14:paraId="6003BDDD">
      <w:pPr>
        <w:widowControl/>
        <w:rPr>
          <w:rFonts w:hint="eastAsia" w:ascii="宋体" w:hAnsi="宋体" w:cs="宋体"/>
          <w:kern w:val="0"/>
          <w:sz w:val="24"/>
        </w:rPr>
      </w:pPr>
      <w:r>
        <w:rPr>
          <w:rFonts w:ascii="fang_song_gb2312" w:hAnsi="fang_song_gb2312" w:eastAsia="fang_song_gb2312" w:cs="fang_song_gb2312"/>
          <w:kern w:val="0"/>
          <w:sz w:val="27"/>
          <w:szCs w:val="27"/>
        </w:rPr>
        <w:t>   </w:t>
      </w:r>
      <w:r>
        <w:rPr>
          <w:rFonts w:hint="eastAsia" w:ascii="宋体" w:hAnsi="宋体" w:cs="宋体"/>
          <w:kern w:val="0"/>
          <w:sz w:val="27"/>
          <w:szCs w:val="27"/>
        </w:rPr>
        <w:t xml:space="preserve"> 内蒙古自治区特种设备检验研究院巴彦淖尔分院根据预算绩效管理要求组织对2023年一般公共预算项目支出全面开展绩效自评，其中二级项目</w:t>
      </w:r>
      <w:r>
        <w:rPr>
          <w:rFonts w:hint="eastAsia" w:ascii="宋体" w:hAnsi="宋体" w:cs="宋体"/>
          <w:kern w:val="0"/>
          <w:sz w:val="27"/>
          <w:szCs w:val="27"/>
          <w:u w:val="single"/>
        </w:rPr>
        <w:t xml:space="preserve"> 1 </w:t>
      </w:r>
      <w:r>
        <w:rPr>
          <w:rFonts w:hint="eastAsia" w:ascii="宋体" w:hAnsi="宋体" w:cs="宋体"/>
          <w:kern w:val="0"/>
          <w:sz w:val="27"/>
          <w:szCs w:val="27"/>
        </w:rPr>
        <w:t>个，共涉及资金</w:t>
      </w:r>
      <w:r>
        <w:rPr>
          <w:rFonts w:hint="eastAsia" w:ascii="宋体" w:hAnsi="宋体" w:cs="宋体"/>
          <w:kern w:val="0"/>
          <w:sz w:val="27"/>
          <w:szCs w:val="27"/>
          <w:u w:val="single"/>
        </w:rPr>
        <w:t xml:space="preserve"> 453.4 </w:t>
      </w:r>
      <w:r>
        <w:rPr>
          <w:rFonts w:hint="eastAsia" w:ascii="宋体" w:hAnsi="宋体" w:cs="宋体"/>
          <w:kern w:val="0"/>
          <w:sz w:val="27"/>
          <w:szCs w:val="27"/>
        </w:rPr>
        <w:t>万元，占一般公共预算项目支出总额的100%。经营支出预算项目</w:t>
      </w:r>
      <w:r>
        <w:rPr>
          <w:rFonts w:hint="eastAsia" w:ascii="宋体" w:hAnsi="宋体" w:cs="宋体"/>
          <w:kern w:val="0"/>
          <w:sz w:val="27"/>
          <w:szCs w:val="27"/>
          <w:u w:val="single"/>
        </w:rPr>
        <w:t xml:space="preserve">1 </w:t>
      </w:r>
      <w:r>
        <w:rPr>
          <w:rFonts w:hint="eastAsia" w:ascii="宋体" w:hAnsi="宋体" w:cs="宋体"/>
          <w:kern w:val="0"/>
          <w:sz w:val="27"/>
          <w:szCs w:val="27"/>
        </w:rPr>
        <w:t>个，其中二级项目</w:t>
      </w:r>
      <w:r>
        <w:rPr>
          <w:rFonts w:hint="eastAsia" w:ascii="宋体" w:hAnsi="宋体" w:cs="宋体"/>
          <w:kern w:val="0"/>
          <w:sz w:val="27"/>
          <w:szCs w:val="27"/>
          <w:u w:val="single"/>
        </w:rPr>
        <w:t xml:space="preserve">1 </w:t>
      </w:r>
      <w:r>
        <w:rPr>
          <w:rFonts w:hint="eastAsia" w:ascii="宋体" w:hAnsi="宋体" w:cs="宋体"/>
          <w:kern w:val="0"/>
          <w:sz w:val="27"/>
          <w:szCs w:val="27"/>
        </w:rPr>
        <w:t>个，共涉及资金</w:t>
      </w:r>
      <w:r>
        <w:rPr>
          <w:rFonts w:hint="eastAsia" w:ascii="宋体" w:hAnsi="宋体" w:cs="宋体"/>
          <w:kern w:val="0"/>
          <w:sz w:val="27"/>
          <w:szCs w:val="27"/>
          <w:u w:val="single"/>
        </w:rPr>
        <w:t>1028.66</w:t>
      </w:r>
      <w:r>
        <w:rPr>
          <w:rFonts w:hint="eastAsia" w:ascii="宋体" w:hAnsi="宋体" w:cs="宋体"/>
          <w:kern w:val="0"/>
          <w:sz w:val="27"/>
          <w:szCs w:val="27"/>
        </w:rPr>
        <w:t>万元，占经营支出总额的100%。</w:t>
      </w:r>
    </w:p>
    <w:p w14:paraId="0A97AE64">
      <w:pPr>
        <w:widowControl/>
        <w:rPr>
          <w:rFonts w:ascii="宋体" w:hAnsi="宋体" w:cs="宋体"/>
          <w:kern w:val="0"/>
          <w:sz w:val="27"/>
          <w:szCs w:val="27"/>
        </w:rPr>
      </w:pPr>
      <w:r>
        <w:rPr>
          <w:rFonts w:hint="eastAsia" w:ascii="宋体" w:hAnsi="宋体" w:cs="宋体"/>
          <w:kern w:val="0"/>
          <w:sz w:val="27"/>
          <w:szCs w:val="27"/>
        </w:rPr>
        <w:t>   组织对“锅炉压力容器与特种设备安全监管”</w:t>
      </w:r>
      <w:r>
        <w:rPr>
          <w:rFonts w:hint="eastAsia" w:ascii="宋体" w:hAnsi="宋体" w:cs="宋体"/>
          <w:kern w:val="0"/>
          <w:sz w:val="27"/>
          <w:szCs w:val="27"/>
          <w:u w:val="single"/>
        </w:rPr>
        <w:t xml:space="preserve"> 1 </w:t>
      </w:r>
      <w:r>
        <w:rPr>
          <w:rFonts w:hint="eastAsia" w:ascii="宋体" w:hAnsi="宋体" w:cs="宋体"/>
          <w:kern w:val="0"/>
          <w:sz w:val="27"/>
          <w:szCs w:val="27"/>
        </w:rPr>
        <w:t>个项目开展了部门评价，涉及一般公共预算支出</w:t>
      </w:r>
      <w:r>
        <w:rPr>
          <w:rFonts w:hint="eastAsia" w:ascii="宋体" w:hAnsi="宋体" w:cs="宋体"/>
          <w:kern w:val="0"/>
          <w:sz w:val="27"/>
          <w:szCs w:val="27"/>
          <w:u w:val="single"/>
        </w:rPr>
        <w:t xml:space="preserve"> 453.4</w:t>
      </w:r>
      <w:r>
        <w:rPr>
          <w:rFonts w:hint="eastAsia" w:ascii="宋体" w:hAnsi="宋体" w:cs="宋体"/>
          <w:kern w:val="0"/>
          <w:sz w:val="27"/>
          <w:szCs w:val="27"/>
        </w:rPr>
        <w:t>万元。其中，对“锅炉压力容器与特种设备安全监管”项目委托相关第三方机构开展绩效评价。从评价情况看，以上项目在项目立项、决策、过程、产出及效益方面均履行了必要的审批程序，实施过程基本规范，产出和效益方面基本达到绩效目标，并有效地服务于我单位在特种设备检验监管方面地方经济社会发展的需要。综合分析，按照评价指标体系及评分标准，对该建设项目进行客观评价，最终评分结果为：总得分为100分，属于“优”。</w:t>
      </w:r>
    </w:p>
    <w:p w14:paraId="409984B0">
      <w:pPr>
        <w:widowControl/>
        <w:ind w:firstLine="540"/>
        <w:rPr>
          <w:rFonts w:ascii="宋体" w:hAnsi="宋体" w:cs="宋体"/>
          <w:kern w:val="0"/>
          <w:sz w:val="27"/>
          <w:szCs w:val="27"/>
        </w:rPr>
      </w:pPr>
      <w:r>
        <w:rPr>
          <w:rFonts w:hint="eastAsia" w:ascii="宋体" w:hAnsi="宋体" w:cs="宋体"/>
          <w:kern w:val="0"/>
          <w:sz w:val="27"/>
          <w:szCs w:val="27"/>
        </w:rPr>
        <w:t>组织对“事业单位经营支出”</w:t>
      </w:r>
      <w:r>
        <w:rPr>
          <w:rFonts w:hint="eastAsia" w:ascii="宋体" w:hAnsi="宋体" w:cs="宋体"/>
          <w:kern w:val="0"/>
          <w:sz w:val="27"/>
          <w:szCs w:val="27"/>
          <w:u w:val="single"/>
        </w:rPr>
        <w:t xml:space="preserve">1 </w:t>
      </w:r>
      <w:r>
        <w:rPr>
          <w:rFonts w:hint="eastAsia" w:ascii="宋体" w:hAnsi="宋体" w:cs="宋体"/>
          <w:kern w:val="0"/>
          <w:sz w:val="27"/>
          <w:szCs w:val="27"/>
        </w:rPr>
        <w:t>个项目开展了部门评价，涉及经营支出</w:t>
      </w:r>
      <w:r>
        <w:rPr>
          <w:rFonts w:hint="eastAsia" w:ascii="宋体" w:hAnsi="宋体" w:cs="宋体"/>
          <w:kern w:val="0"/>
          <w:sz w:val="27"/>
          <w:szCs w:val="27"/>
          <w:u w:val="single"/>
        </w:rPr>
        <w:t xml:space="preserve"> 1028.66</w:t>
      </w:r>
      <w:r>
        <w:rPr>
          <w:rFonts w:hint="eastAsia" w:ascii="宋体" w:hAnsi="宋体" w:cs="宋体"/>
          <w:kern w:val="0"/>
          <w:sz w:val="27"/>
          <w:szCs w:val="27"/>
        </w:rPr>
        <w:t>万元。其中，对“事业单位经营支出”项目委托相关第三方机构开展绩效评价。从评价情况看，以上项目</w:t>
      </w:r>
      <w:r>
        <w:rPr>
          <w:rFonts w:ascii="宋体" w:hAnsi="宋体" w:cs="宋体"/>
          <w:kern w:val="0"/>
          <w:sz w:val="27"/>
          <w:szCs w:val="27"/>
        </w:rPr>
        <w:t>资金主要用于检验检测人员工资，现场检验检测产生的差旅费、检验检测相关的专用材料费、评审相关费用及其他与检验检测相关的费用，通过不断提升技术服务水平，加强监督检查，保证了特种设备安全运行。</w:t>
      </w:r>
      <w:r>
        <w:rPr>
          <w:rFonts w:hint="eastAsia" w:ascii="宋体" w:hAnsi="宋体" w:cs="宋体"/>
          <w:kern w:val="0"/>
          <w:sz w:val="27"/>
          <w:szCs w:val="27"/>
        </w:rPr>
        <w:t>综合分析，按照评价指标体系及评分标准，对该建设项目进行客观评价，最终评分结果为：总得分为99.88分，属于“优”。</w:t>
      </w:r>
    </w:p>
    <w:p w14:paraId="7809E367">
      <w:pPr>
        <w:widowControl/>
        <w:spacing w:before="240" w:after="240"/>
        <w:jc w:val="left"/>
        <w:rPr>
          <w:rFonts w:eastAsia="Times New Roman"/>
          <w:kern w:val="0"/>
          <w:sz w:val="24"/>
        </w:rPr>
      </w:pPr>
      <w:r>
        <w:rPr>
          <w:rFonts w:ascii="kai_ti_gb2312" w:hAnsi="kai_ti_gb2312" w:eastAsia="kai_ti_gb2312" w:cs="kai_ti_gb2312"/>
          <w:b/>
          <w:bCs/>
          <w:kern w:val="0"/>
          <w:sz w:val="27"/>
          <w:szCs w:val="27"/>
        </w:rPr>
        <w:t>    （二）单位决算中项目绩效自评结果。</w:t>
      </w:r>
    </w:p>
    <w:p w14:paraId="2E65E5A6">
      <w:pPr>
        <w:widowControl/>
        <w:ind w:firstLine="481"/>
        <w:rPr>
          <w:rFonts w:hint="eastAsia" w:ascii="宋体" w:hAnsi="宋体" w:cs="宋体"/>
          <w:kern w:val="0"/>
          <w:sz w:val="27"/>
          <w:szCs w:val="27"/>
          <w:u w:val="single"/>
        </w:rPr>
      </w:pPr>
      <w:r>
        <w:rPr>
          <w:rFonts w:hint="eastAsia" w:ascii="宋体" w:hAnsi="宋体" w:cs="宋体"/>
          <w:kern w:val="0"/>
          <w:sz w:val="27"/>
          <w:szCs w:val="27"/>
        </w:rPr>
        <w:t>内蒙古自治区特种设备检验研究院巴彦淖尔分院 2023年度在决算中反映</w:t>
      </w:r>
      <w:r>
        <w:rPr>
          <w:rFonts w:hint="eastAsia" w:ascii="宋体" w:hAnsi="宋体" w:cs="宋体"/>
          <w:kern w:val="0"/>
          <w:sz w:val="27"/>
          <w:szCs w:val="27"/>
          <w:u w:val="single"/>
        </w:rPr>
        <w:t xml:space="preserve">  </w:t>
      </w:r>
    </w:p>
    <w:p w14:paraId="1627D544">
      <w:pPr>
        <w:widowControl/>
        <w:rPr>
          <w:rFonts w:hint="eastAsia" w:ascii="宋体" w:hAnsi="宋体" w:cs="宋体"/>
          <w:kern w:val="0"/>
          <w:sz w:val="24"/>
        </w:rPr>
      </w:pPr>
      <w:r>
        <w:rPr>
          <w:rFonts w:hint="eastAsia" w:ascii="宋体" w:hAnsi="宋体" w:cs="宋体"/>
          <w:kern w:val="0"/>
          <w:sz w:val="27"/>
          <w:szCs w:val="27"/>
          <w:u w:val="single"/>
        </w:rPr>
        <w:t xml:space="preserve"> 1 </w:t>
      </w:r>
      <w:r>
        <w:rPr>
          <w:rFonts w:hint="eastAsia" w:ascii="宋体" w:hAnsi="宋体" w:cs="宋体"/>
          <w:kern w:val="0"/>
          <w:sz w:val="27"/>
          <w:szCs w:val="27"/>
        </w:rPr>
        <w:t>个一般公共预算项目，以及</w:t>
      </w:r>
      <w:r>
        <w:rPr>
          <w:rFonts w:hint="eastAsia" w:ascii="宋体" w:hAnsi="宋体" w:cs="宋体"/>
          <w:kern w:val="0"/>
          <w:sz w:val="27"/>
          <w:szCs w:val="27"/>
          <w:u w:val="single"/>
        </w:rPr>
        <w:t>1</w:t>
      </w:r>
      <w:r>
        <w:rPr>
          <w:rFonts w:hint="eastAsia" w:ascii="宋体" w:hAnsi="宋体" w:cs="宋体"/>
          <w:kern w:val="0"/>
          <w:sz w:val="27"/>
          <w:szCs w:val="27"/>
        </w:rPr>
        <w:t>个经营支出项目，共</w:t>
      </w:r>
      <w:r>
        <w:rPr>
          <w:rFonts w:hint="eastAsia" w:ascii="宋体" w:hAnsi="宋体" w:cs="宋体"/>
          <w:kern w:val="0"/>
          <w:sz w:val="27"/>
          <w:szCs w:val="27"/>
          <w:u w:val="single"/>
        </w:rPr>
        <w:t xml:space="preserve"> 2</w:t>
      </w:r>
      <w:r>
        <w:rPr>
          <w:rFonts w:hint="eastAsia" w:ascii="宋体" w:hAnsi="宋体" w:cs="宋体"/>
          <w:kern w:val="0"/>
          <w:sz w:val="27"/>
          <w:szCs w:val="27"/>
        </w:rPr>
        <w:t>个项目的绩效自评结果。</w:t>
      </w:r>
    </w:p>
    <w:p w14:paraId="112D61E1">
      <w:pPr>
        <w:widowControl/>
        <w:rPr>
          <w:rFonts w:hint="eastAsia" w:ascii="宋体" w:hAnsi="宋体" w:cs="宋体"/>
          <w:kern w:val="0"/>
          <w:sz w:val="27"/>
          <w:szCs w:val="27"/>
        </w:rPr>
      </w:pPr>
      <w:r>
        <w:rPr>
          <w:rFonts w:hint="eastAsia" w:ascii="宋体" w:hAnsi="宋体" w:cs="宋体"/>
          <w:kern w:val="0"/>
          <w:sz w:val="27"/>
          <w:szCs w:val="27"/>
        </w:rPr>
        <w:t>   1、锅炉压力容器与特种设备安全监管项目自评综述：根据年初设定的绩效目标，项目自评得分</w:t>
      </w:r>
      <w:r>
        <w:rPr>
          <w:rFonts w:hint="eastAsia" w:ascii="宋体" w:hAnsi="宋体" w:cs="宋体"/>
          <w:kern w:val="0"/>
          <w:sz w:val="27"/>
          <w:szCs w:val="27"/>
          <w:u w:val="single"/>
        </w:rPr>
        <w:t xml:space="preserve"> 100 </w:t>
      </w:r>
      <w:r>
        <w:rPr>
          <w:rFonts w:hint="eastAsia" w:ascii="宋体" w:hAnsi="宋体" w:cs="宋体"/>
          <w:kern w:val="0"/>
          <w:sz w:val="27"/>
          <w:szCs w:val="27"/>
        </w:rPr>
        <w:t>分。全年预算数为</w:t>
      </w:r>
      <w:r>
        <w:rPr>
          <w:rFonts w:hint="eastAsia" w:ascii="宋体" w:hAnsi="宋体" w:cs="宋体"/>
          <w:kern w:val="0"/>
          <w:sz w:val="27"/>
          <w:szCs w:val="27"/>
          <w:u w:val="single"/>
        </w:rPr>
        <w:t xml:space="preserve"> 453.4 </w:t>
      </w:r>
      <w:r>
        <w:rPr>
          <w:rFonts w:hint="eastAsia" w:ascii="宋体" w:hAnsi="宋体" w:cs="宋体"/>
          <w:kern w:val="0"/>
          <w:sz w:val="27"/>
          <w:szCs w:val="27"/>
        </w:rPr>
        <w:t>万元，执行数为</w:t>
      </w:r>
      <w:r>
        <w:rPr>
          <w:rFonts w:hint="eastAsia" w:ascii="宋体" w:hAnsi="宋体" w:cs="宋体"/>
          <w:kern w:val="0"/>
          <w:sz w:val="27"/>
          <w:szCs w:val="27"/>
          <w:u w:val="single"/>
        </w:rPr>
        <w:t xml:space="preserve">  453.4</w:t>
      </w:r>
      <w:r>
        <w:rPr>
          <w:rFonts w:hint="eastAsia" w:ascii="宋体" w:hAnsi="宋体" w:cs="宋体"/>
          <w:kern w:val="0"/>
          <w:sz w:val="27"/>
          <w:szCs w:val="27"/>
        </w:rPr>
        <w:t>万元，完成预算的</w:t>
      </w:r>
      <w:r>
        <w:rPr>
          <w:rFonts w:hint="eastAsia" w:ascii="宋体" w:hAnsi="宋体" w:cs="宋体"/>
          <w:kern w:val="0"/>
          <w:sz w:val="27"/>
          <w:szCs w:val="27"/>
          <w:u w:val="single"/>
        </w:rPr>
        <w:t xml:space="preserve"> 100 </w:t>
      </w:r>
      <w:r>
        <w:rPr>
          <w:rFonts w:hint="eastAsia" w:ascii="宋体" w:hAnsi="宋体" w:cs="宋体"/>
          <w:kern w:val="0"/>
          <w:sz w:val="27"/>
          <w:szCs w:val="27"/>
        </w:rPr>
        <w:t>%。</w:t>
      </w:r>
    </w:p>
    <w:p w14:paraId="1510B5DB">
      <w:pPr>
        <w:widowControl/>
        <w:ind w:firstLine="540" w:firstLineChars="200"/>
        <w:rPr>
          <w:rFonts w:hint="eastAsia" w:ascii="宋体" w:hAnsi="宋体" w:cs="宋体"/>
          <w:kern w:val="0"/>
          <w:sz w:val="27"/>
          <w:szCs w:val="27"/>
        </w:rPr>
      </w:pPr>
      <w:r>
        <w:rPr>
          <w:rFonts w:hint="eastAsia" w:ascii="宋体" w:hAnsi="宋体" w:cs="宋体"/>
          <w:kern w:val="0"/>
          <w:sz w:val="27"/>
          <w:szCs w:val="27"/>
        </w:rPr>
        <w:t>项目绩效目标完成情况：2023年全年，我分院入缴非税收入共1711.64万元，达到预算数的100.09%。1.共完成各类特种设备定期检验4206台/辆/组，其中：锅炉595台；压力容器1367台；起重机械797台；场（厂）内机动车辆741台；完成压力管道108.94公里；检测锅炉水样479组；检测水处理设备227台。2.共完成各类特种设备监督检验1585台/辆，其中：锅炉58台，电梯874台；起重机械272台；场（厂）内机动车辆381台；完成压力管道67.93公里。3.共完成各类特种设备年度检验3434台，其中：压力容器3434台。检测区域覆盖率达到100%，检测报告出具率达到100%，检测报告合格率达到98%，服务对象对检测结果的满意度大于等于98%。</w:t>
      </w:r>
    </w:p>
    <w:p w14:paraId="3D1D401E">
      <w:pPr>
        <w:widowControl/>
        <w:ind w:firstLine="540" w:firstLineChars="200"/>
        <w:rPr>
          <w:rFonts w:hint="eastAsia" w:ascii="宋体" w:hAnsi="宋体" w:cs="宋体"/>
          <w:kern w:val="0"/>
          <w:sz w:val="27"/>
          <w:szCs w:val="27"/>
        </w:rPr>
      </w:pPr>
      <w:r>
        <w:rPr>
          <w:rFonts w:hint="eastAsia" w:ascii="宋体" w:hAnsi="宋体" w:cs="宋体"/>
          <w:kern w:val="0"/>
          <w:sz w:val="27"/>
          <w:szCs w:val="27"/>
        </w:rPr>
        <w:t>发现的主要问题及原因：预算编制与政府工作安排时间不同步，即预算申报时间在前，重点工作任务安排在后，导致预算资金与工作安排匹配程度较低。预算编制与政府工作安排时间不同步，即预算申报时间在前，重点工作任务安排在后，导致预算资金与工作安排匹配程度较低。</w:t>
      </w:r>
    </w:p>
    <w:p w14:paraId="26318329">
      <w:pPr>
        <w:widowControl/>
        <w:ind w:firstLine="540" w:firstLineChars="200"/>
        <w:rPr>
          <w:rFonts w:hint="eastAsia" w:ascii="宋体" w:hAnsi="宋体" w:cs="宋体"/>
          <w:kern w:val="0"/>
          <w:sz w:val="27"/>
          <w:szCs w:val="27"/>
        </w:rPr>
      </w:pPr>
      <w:r>
        <w:rPr>
          <w:rFonts w:hint="eastAsia" w:ascii="宋体" w:hAnsi="宋体" w:cs="宋体"/>
          <w:kern w:val="0"/>
          <w:sz w:val="27"/>
          <w:szCs w:val="27"/>
        </w:rPr>
        <w:t>下一步改进措施：在绩效目标评价工作试运行过程中，我单位不断完善体系指标设置、改进考核评估方法，使评价工作更加合理、更加有效，用事后监督促进事前管理，进一步确保自治区专项资金落到实处、起到实效。</w:t>
      </w:r>
    </w:p>
    <w:p w14:paraId="5CFDF445">
      <w:pPr>
        <w:widowControl/>
        <w:rPr>
          <w:rFonts w:hint="eastAsia" w:ascii="宋体" w:hAnsi="宋体" w:cs="宋体"/>
          <w:kern w:val="0"/>
          <w:sz w:val="27"/>
          <w:szCs w:val="27"/>
        </w:rPr>
      </w:pPr>
    </w:p>
    <w:p w14:paraId="1590D343">
      <w:pPr>
        <w:widowControl/>
        <w:rPr>
          <w:rFonts w:hint="eastAsia" w:ascii="宋体" w:hAnsi="宋体" w:cs="宋体"/>
          <w:kern w:val="0"/>
          <w:sz w:val="27"/>
          <w:szCs w:val="27"/>
        </w:rPr>
      </w:pPr>
    </w:p>
    <w:tbl>
      <w:tblPr>
        <w:tblStyle w:val="18"/>
        <w:tblW w:w="5000" w:type="pct"/>
        <w:tblInd w:w="0" w:type="dxa"/>
        <w:tblLayout w:type="autofit"/>
        <w:tblCellMar>
          <w:top w:w="0" w:type="dxa"/>
          <w:left w:w="108" w:type="dxa"/>
          <w:bottom w:w="0" w:type="dxa"/>
          <w:right w:w="108" w:type="dxa"/>
        </w:tblCellMar>
      </w:tblPr>
      <w:tblGrid>
        <w:gridCol w:w="514"/>
        <w:gridCol w:w="529"/>
        <w:gridCol w:w="762"/>
        <w:gridCol w:w="1139"/>
        <w:gridCol w:w="739"/>
        <w:gridCol w:w="900"/>
        <w:gridCol w:w="835"/>
        <w:gridCol w:w="752"/>
        <w:gridCol w:w="560"/>
        <w:gridCol w:w="643"/>
        <w:gridCol w:w="645"/>
        <w:gridCol w:w="1224"/>
      </w:tblGrid>
      <w:tr w14:paraId="18C5E570">
        <w:tblPrEx>
          <w:tblCellMar>
            <w:top w:w="0" w:type="dxa"/>
            <w:left w:w="108" w:type="dxa"/>
            <w:bottom w:w="0" w:type="dxa"/>
            <w:right w:w="108" w:type="dxa"/>
          </w:tblCellMar>
        </w:tblPrEx>
        <w:trPr>
          <w:cantSplit/>
          <w:trHeight w:val="9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0055CCC">
            <w:pPr>
              <w:widowControl/>
              <w:jc w:val="center"/>
              <w:textAlignment w:val="center"/>
              <w:rPr>
                <w:rFonts w:hint="eastAsia" w:ascii="宋体" w:hAnsi="宋体" w:cs="宋体"/>
                <w:b/>
                <w:bCs/>
                <w:color w:val="000000"/>
                <w:sz w:val="40"/>
                <w:szCs w:val="40"/>
              </w:rPr>
            </w:pPr>
            <w:r>
              <w:rPr>
                <w:rFonts w:hint="eastAsia" w:ascii="宋体" w:hAnsi="宋体" w:cs="宋体"/>
                <w:b/>
                <w:bCs/>
                <w:color w:val="000000"/>
                <w:kern w:val="0"/>
                <w:sz w:val="32"/>
                <w:szCs w:val="32"/>
                <w:lang w:bidi="ar"/>
              </w:rPr>
              <w:t>项目支出绩效自评表</w:t>
            </w:r>
            <w:r>
              <w:rPr>
                <w:rFonts w:hint="eastAsia" w:ascii="宋体" w:hAnsi="宋体" w:cs="宋体"/>
                <w:b/>
                <w:bCs/>
                <w:color w:val="000000"/>
                <w:kern w:val="0"/>
                <w:sz w:val="32"/>
                <w:szCs w:val="32"/>
                <w:lang w:bidi="ar"/>
              </w:rPr>
              <w:br w:type="textWrapping"/>
            </w:r>
            <w:r>
              <w:rPr>
                <w:rFonts w:hint="eastAsia" w:ascii="宋体" w:hAnsi="宋体" w:cs="宋体"/>
                <w:b/>
                <w:bCs/>
                <w:color w:val="000000"/>
                <w:kern w:val="0"/>
                <w:sz w:val="24"/>
                <w:lang w:bidi="ar"/>
              </w:rPr>
              <w:t>(2023年度）</w:t>
            </w:r>
          </w:p>
        </w:tc>
      </w:tr>
      <w:tr w14:paraId="03F819E4">
        <w:tblPrEx>
          <w:tblCellMar>
            <w:top w:w="0" w:type="dxa"/>
            <w:left w:w="108" w:type="dxa"/>
            <w:bottom w:w="0" w:type="dxa"/>
            <w:right w:w="108" w:type="dxa"/>
          </w:tblCellMar>
        </w:tblPrEx>
        <w:trPr>
          <w:cantSplit/>
          <w:trHeight w:val="90" w:hRule="atLeast"/>
        </w:trPr>
        <w:tc>
          <w:tcPr>
            <w:tcW w:w="5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FBFBE">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项目名称</w:t>
            </w:r>
          </w:p>
        </w:tc>
        <w:tc>
          <w:tcPr>
            <w:tcW w:w="443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06BD5DB">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锅炉压力容器与特种设备安全监管</w:t>
            </w:r>
          </w:p>
        </w:tc>
      </w:tr>
      <w:tr w14:paraId="6E556297">
        <w:tblPrEx>
          <w:tblCellMar>
            <w:top w:w="0" w:type="dxa"/>
            <w:left w:w="108" w:type="dxa"/>
            <w:bottom w:w="0" w:type="dxa"/>
            <w:right w:w="108" w:type="dxa"/>
          </w:tblCellMar>
        </w:tblPrEx>
        <w:trPr>
          <w:cantSplit/>
          <w:trHeight w:val="90" w:hRule="atLeast"/>
        </w:trPr>
        <w:tc>
          <w:tcPr>
            <w:tcW w:w="5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5DF72">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主管部门</w:t>
            </w:r>
          </w:p>
        </w:tc>
        <w:tc>
          <w:tcPr>
            <w:tcW w:w="19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5A0B47">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内蒙古自治区市场监督管理局部门</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6F8E18">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实施单位</w:t>
            </w:r>
          </w:p>
        </w:tc>
        <w:tc>
          <w:tcPr>
            <w:tcW w:w="165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AAE664">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内蒙古自治区特种设备检验研究院巴彦淖尔分院</w:t>
            </w:r>
          </w:p>
        </w:tc>
      </w:tr>
      <w:tr w14:paraId="10EEDADD">
        <w:tblPrEx>
          <w:tblCellMar>
            <w:top w:w="0" w:type="dxa"/>
            <w:left w:w="108" w:type="dxa"/>
            <w:bottom w:w="0" w:type="dxa"/>
            <w:right w:w="108" w:type="dxa"/>
          </w:tblCellMar>
        </w:tblPrEx>
        <w:trPr>
          <w:cantSplit/>
          <w:trHeight w:val="90" w:hRule="atLeast"/>
        </w:trPr>
        <w:tc>
          <w:tcPr>
            <w:tcW w:w="56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B43A02">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项目资金</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（万元）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24203">
            <w:pPr>
              <w:rPr>
                <w:rFonts w:hint="eastAsia" w:ascii="宋体" w:hAnsi="宋体" w:cs="宋体"/>
                <w:color w:val="000000"/>
                <w:sz w:val="15"/>
                <w:szCs w:val="15"/>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B140F">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年初预算数</w:t>
            </w:r>
          </w:p>
        </w:tc>
        <w:tc>
          <w:tcPr>
            <w:tcW w:w="8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D21F3">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全年预算数</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C17FC">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全年执行数</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0EB94">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分值</w:t>
            </w:r>
          </w:p>
        </w:tc>
        <w:tc>
          <w:tcPr>
            <w:tcW w:w="6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EA35C0">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执行率（%）</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CEE4E">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得分</w:t>
            </w:r>
          </w:p>
        </w:tc>
      </w:tr>
      <w:tr w14:paraId="42075DE5">
        <w:tblPrEx>
          <w:tblCellMar>
            <w:top w:w="0" w:type="dxa"/>
            <w:left w:w="108" w:type="dxa"/>
            <w:bottom w:w="0" w:type="dxa"/>
            <w:right w:w="108" w:type="dxa"/>
          </w:tblCellMar>
        </w:tblPrEx>
        <w:trPr>
          <w:cantSplit/>
          <w:trHeight w:val="90" w:hRule="atLeast"/>
        </w:trPr>
        <w:tc>
          <w:tcPr>
            <w:tcW w:w="56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F106D">
            <w:pPr>
              <w:jc w:val="center"/>
              <w:rPr>
                <w:rFonts w:hint="eastAsia" w:ascii="宋体" w:hAnsi="宋体" w:cs="宋体"/>
                <w:color w:val="000000"/>
                <w:sz w:val="15"/>
                <w:szCs w:val="15"/>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5EBA9">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年度资金总额</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E5F81">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457.8</w:t>
            </w:r>
          </w:p>
        </w:tc>
        <w:tc>
          <w:tcPr>
            <w:tcW w:w="8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298AE">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453.40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80342">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453.40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1CFB9">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w:t>
            </w:r>
          </w:p>
        </w:tc>
        <w:tc>
          <w:tcPr>
            <w:tcW w:w="6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AB064">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100.00</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DD168">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w:t>
            </w:r>
          </w:p>
        </w:tc>
      </w:tr>
      <w:tr w14:paraId="05628A66">
        <w:tblPrEx>
          <w:tblCellMar>
            <w:top w:w="0" w:type="dxa"/>
            <w:left w:w="108" w:type="dxa"/>
            <w:bottom w:w="0" w:type="dxa"/>
            <w:right w:w="108" w:type="dxa"/>
          </w:tblCellMar>
        </w:tblPrEx>
        <w:trPr>
          <w:cantSplit/>
          <w:trHeight w:val="90" w:hRule="atLeast"/>
        </w:trPr>
        <w:tc>
          <w:tcPr>
            <w:tcW w:w="56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9EF3D">
            <w:pPr>
              <w:jc w:val="center"/>
              <w:rPr>
                <w:rFonts w:hint="eastAsia" w:ascii="宋体" w:hAnsi="宋体" w:cs="宋体"/>
                <w:color w:val="000000"/>
                <w:sz w:val="15"/>
                <w:szCs w:val="15"/>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BB0DB">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其中：财政拨款</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C9627">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457.8</w:t>
            </w:r>
          </w:p>
        </w:tc>
        <w:tc>
          <w:tcPr>
            <w:tcW w:w="8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932C8">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453.40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DE99E">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453.40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80667">
            <w:pPr>
              <w:widowControl/>
              <w:jc w:val="center"/>
              <w:textAlignment w:val="center"/>
              <w:rPr>
                <w:rFonts w:ascii="Arial" w:hAnsi="Arial" w:cs="Arial"/>
                <w:color w:val="222222"/>
                <w:sz w:val="15"/>
                <w:szCs w:val="15"/>
              </w:rPr>
            </w:pPr>
            <w:r>
              <w:rPr>
                <w:rFonts w:ascii="Arial" w:hAnsi="Arial" w:cs="Arial"/>
                <w:color w:val="222222"/>
                <w:kern w:val="0"/>
                <w:sz w:val="15"/>
                <w:szCs w:val="15"/>
                <w:lang w:bidi="ar"/>
              </w:rPr>
              <w:t>——</w:t>
            </w:r>
          </w:p>
        </w:tc>
        <w:tc>
          <w:tcPr>
            <w:tcW w:w="6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A5324">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100</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6EFC">
            <w:pPr>
              <w:widowControl/>
              <w:jc w:val="center"/>
              <w:textAlignment w:val="center"/>
              <w:rPr>
                <w:rFonts w:ascii="Arial" w:hAnsi="Arial" w:cs="Arial"/>
                <w:color w:val="222222"/>
                <w:sz w:val="15"/>
                <w:szCs w:val="15"/>
              </w:rPr>
            </w:pPr>
            <w:r>
              <w:rPr>
                <w:rFonts w:ascii="Arial" w:hAnsi="Arial" w:cs="Arial"/>
                <w:color w:val="222222"/>
                <w:kern w:val="0"/>
                <w:sz w:val="15"/>
                <w:szCs w:val="15"/>
                <w:lang w:bidi="ar"/>
              </w:rPr>
              <w:t>——</w:t>
            </w:r>
          </w:p>
        </w:tc>
      </w:tr>
      <w:tr w14:paraId="78D4DB5E">
        <w:tblPrEx>
          <w:tblCellMar>
            <w:top w:w="0" w:type="dxa"/>
            <w:left w:w="108" w:type="dxa"/>
            <w:bottom w:w="0" w:type="dxa"/>
            <w:right w:w="108" w:type="dxa"/>
          </w:tblCellMar>
        </w:tblPrEx>
        <w:trPr>
          <w:cantSplit/>
          <w:trHeight w:val="90" w:hRule="atLeast"/>
        </w:trPr>
        <w:tc>
          <w:tcPr>
            <w:tcW w:w="56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41E28">
            <w:pPr>
              <w:jc w:val="center"/>
              <w:rPr>
                <w:rFonts w:hint="eastAsia" w:ascii="宋体" w:hAnsi="宋体" w:cs="宋体"/>
                <w:color w:val="000000"/>
                <w:sz w:val="15"/>
                <w:szCs w:val="15"/>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5B9BA">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上年结转资金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2DC35">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0.00</w:t>
            </w:r>
          </w:p>
        </w:tc>
        <w:tc>
          <w:tcPr>
            <w:tcW w:w="8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6833D">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0.00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5BEE3">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0.00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CA88">
            <w:pPr>
              <w:widowControl/>
              <w:jc w:val="center"/>
              <w:textAlignment w:val="center"/>
              <w:rPr>
                <w:rFonts w:ascii="Arial" w:hAnsi="Arial" w:cs="Arial"/>
                <w:color w:val="222222"/>
                <w:sz w:val="15"/>
                <w:szCs w:val="15"/>
              </w:rPr>
            </w:pPr>
            <w:r>
              <w:rPr>
                <w:rFonts w:ascii="Arial" w:hAnsi="Arial" w:cs="Arial"/>
                <w:color w:val="222222"/>
                <w:kern w:val="0"/>
                <w:sz w:val="15"/>
                <w:szCs w:val="15"/>
                <w:lang w:bidi="ar"/>
              </w:rPr>
              <w:t>——</w:t>
            </w:r>
          </w:p>
        </w:tc>
        <w:tc>
          <w:tcPr>
            <w:tcW w:w="6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E8280">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0</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119BB">
            <w:pPr>
              <w:widowControl/>
              <w:jc w:val="center"/>
              <w:textAlignment w:val="center"/>
              <w:rPr>
                <w:rFonts w:ascii="Arial" w:hAnsi="Arial" w:cs="Arial"/>
                <w:color w:val="222222"/>
                <w:sz w:val="15"/>
                <w:szCs w:val="15"/>
              </w:rPr>
            </w:pPr>
            <w:r>
              <w:rPr>
                <w:rFonts w:ascii="Arial" w:hAnsi="Arial" w:cs="Arial"/>
                <w:color w:val="222222"/>
                <w:kern w:val="0"/>
                <w:sz w:val="15"/>
                <w:szCs w:val="15"/>
                <w:lang w:bidi="ar"/>
              </w:rPr>
              <w:t>——</w:t>
            </w:r>
          </w:p>
        </w:tc>
      </w:tr>
      <w:tr w14:paraId="1D7710EF">
        <w:tblPrEx>
          <w:tblCellMar>
            <w:top w:w="0" w:type="dxa"/>
            <w:left w:w="108" w:type="dxa"/>
            <w:bottom w:w="0" w:type="dxa"/>
            <w:right w:w="108" w:type="dxa"/>
          </w:tblCellMar>
        </w:tblPrEx>
        <w:trPr>
          <w:cantSplit/>
          <w:trHeight w:val="90" w:hRule="atLeast"/>
        </w:trPr>
        <w:tc>
          <w:tcPr>
            <w:tcW w:w="56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0AD72">
            <w:pPr>
              <w:jc w:val="center"/>
              <w:rPr>
                <w:rFonts w:hint="eastAsia" w:ascii="宋体" w:hAnsi="宋体" w:cs="宋体"/>
                <w:color w:val="000000"/>
                <w:sz w:val="15"/>
                <w:szCs w:val="15"/>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AB179">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其他资金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75E9A">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0.00</w:t>
            </w:r>
          </w:p>
        </w:tc>
        <w:tc>
          <w:tcPr>
            <w:tcW w:w="8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50626">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0.00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9AF3A">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0.00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3296">
            <w:pPr>
              <w:widowControl/>
              <w:jc w:val="center"/>
              <w:textAlignment w:val="center"/>
              <w:rPr>
                <w:rFonts w:ascii="Arial" w:hAnsi="Arial" w:cs="Arial"/>
                <w:color w:val="222222"/>
                <w:sz w:val="15"/>
                <w:szCs w:val="15"/>
              </w:rPr>
            </w:pPr>
            <w:r>
              <w:rPr>
                <w:rFonts w:ascii="Arial" w:hAnsi="Arial" w:cs="Arial"/>
                <w:color w:val="222222"/>
                <w:kern w:val="0"/>
                <w:sz w:val="15"/>
                <w:szCs w:val="15"/>
                <w:lang w:bidi="ar"/>
              </w:rPr>
              <w:t>——</w:t>
            </w:r>
          </w:p>
        </w:tc>
        <w:tc>
          <w:tcPr>
            <w:tcW w:w="6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5A19F">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0</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37C9">
            <w:pPr>
              <w:widowControl/>
              <w:jc w:val="center"/>
              <w:textAlignment w:val="center"/>
              <w:rPr>
                <w:rFonts w:ascii="Arial" w:hAnsi="Arial" w:cs="Arial"/>
                <w:color w:val="222222"/>
                <w:sz w:val="15"/>
                <w:szCs w:val="15"/>
              </w:rPr>
            </w:pPr>
            <w:r>
              <w:rPr>
                <w:rFonts w:ascii="Arial" w:hAnsi="Arial" w:cs="Arial"/>
                <w:color w:val="222222"/>
                <w:kern w:val="0"/>
                <w:sz w:val="15"/>
                <w:szCs w:val="15"/>
                <w:lang w:bidi="ar"/>
              </w:rPr>
              <w:t>——</w:t>
            </w:r>
          </w:p>
        </w:tc>
      </w:tr>
      <w:tr w14:paraId="1FD8345A">
        <w:tblPrEx>
          <w:tblCellMar>
            <w:top w:w="0" w:type="dxa"/>
            <w:left w:w="108" w:type="dxa"/>
            <w:bottom w:w="0" w:type="dxa"/>
            <w:right w:w="108" w:type="dxa"/>
          </w:tblCellMar>
        </w:tblPrEx>
        <w:trPr>
          <w:cantSplit/>
          <w:trHeight w:val="90" w:hRule="atLeast"/>
        </w:trPr>
        <w:tc>
          <w:tcPr>
            <w:tcW w:w="56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15E69">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年度总体目标</w:t>
            </w:r>
          </w:p>
        </w:tc>
        <w:tc>
          <w:tcPr>
            <w:tcW w:w="236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1FEE30">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预期目标</w:t>
            </w:r>
          </w:p>
        </w:tc>
        <w:tc>
          <w:tcPr>
            <w:tcW w:w="206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016DA6">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实际完成情况</w:t>
            </w:r>
          </w:p>
        </w:tc>
      </w:tr>
      <w:tr w14:paraId="744A4E3F">
        <w:tblPrEx>
          <w:tblCellMar>
            <w:top w:w="0" w:type="dxa"/>
            <w:left w:w="108" w:type="dxa"/>
            <w:bottom w:w="0" w:type="dxa"/>
            <w:right w:w="108" w:type="dxa"/>
          </w:tblCellMar>
        </w:tblPrEx>
        <w:trPr>
          <w:cantSplit/>
          <w:trHeight w:val="90" w:hRule="atLeast"/>
        </w:trPr>
        <w:tc>
          <w:tcPr>
            <w:tcW w:w="56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D1944">
            <w:pPr>
              <w:jc w:val="center"/>
              <w:rPr>
                <w:rFonts w:hint="eastAsia" w:ascii="宋体" w:hAnsi="宋体" w:cs="宋体"/>
                <w:color w:val="000000"/>
                <w:sz w:val="15"/>
                <w:szCs w:val="15"/>
              </w:rPr>
            </w:pPr>
          </w:p>
        </w:tc>
        <w:tc>
          <w:tcPr>
            <w:tcW w:w="236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9F24DD">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2023年完成各类特种设备定期检验及监督检验，预计年收取检验费用1710万元。通过开展锅炉压力容器与特种设备安全监管，提高人员专业技能，为行政监管部门提供技术支撑，防止和减少事故发生，保障人民群众生命和财产安全。</w:t>
            </w:r>
          </w:p>
        </w:tc>
        <w:tc>
          <w:tcPr>
            <w:tcW w:w="206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55FFFC">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2023年全年，我分院入缴非税收入共1711.64万元，达到预算数的100.09%。1.共完成各类特种设备定期检验4206台/辆/组，其中：锅炉595台；压力容器1367台；起重机械797台；场（厂）内机动车辆741台；完成压力管道108.94公里；检测锅炉水样479组；检测水处理设备227台。2.共完成各类特种设备监督检验1585台/辆，其中：锅炉58台，电梯874台；起重机械272台；场（厂）内机动车辆381台；完成压力管道67.93公里。3.共完成各类特种设备年度检验3434台，其中：压力容器3434台。检测区域覆盖率达到100%，检测报告出具率达到100%，检测报告合格率达到98%，服务对象对检测结果的满意度大于等于98%。通过进行特种设备检验检测，保证了特种设备安全运行，为特种设备安全监察提供了技术支撑，防止和减少事故发生，保障了人民群众生命和财产安全。</w:t>
            </w:r>
          </w:p>
        </w:tc>
      </w:tr>
      <w:tr w14:paraId="17285E8B">
        <w:tblPrEx>
          <w:tblCellMar>
            <w:top w:w="0" w:type="dxa"/>
            <w:left w:w="108" w:type="dxa"/>
            <w:bottom w:w="0" w:type="dxa"/>
            <w:right w:w="108" w:type="dxa"/>
          </w:tblCellMar>
        </w:tblPrEx>
        <w:trPr>
          <w:cantSplit/>
          <w:trHeight w:val="57"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8AFB6">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绩效指标</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9B774">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一级指标</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FAAEB">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二级指标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CC1AE">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三级指标</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EEE8D">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指标性质</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275DC">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指标方向</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03C35">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年度指标值</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29B71">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实际完成值</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1FDE3">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计量单位</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5E45F">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分值</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71AD5">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得分</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D1CD8">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偏差原因分析及改进措施</w:t>
            </w:r>
          </w:p>
        </w:tc>
      </w:tr>
      <w:tr w14:paraId="5C2ADCCE">
        <w:tblPrEx>
          <w:tblCellMar>
            <w:top w:w="0" w:type="dxa"/>
            <w:left w:w="108" w:type="dxa"/>
            <w:bottom w:w="0" w:type="dxa"/>
            <w:right w:w="108" w:type="dxa"/>
          </w:tblCellMar>
        </w:tblPrEx>
        <w:trPr>
          <w:cantSplit/>
          <w:trHeight w:val="753" w:hRule="atLeast"/>
        </w:trPr>
        <w:tc>
          <w:tcPr>
            <w:tcW w:w="278" w:type="pct"/>
            <w:vMerge w:val="restart"/>
            <w:tcBorders>
              <w:top w:val="single" w:color="000000" w:sz="4" w:space="0"/>
              <w:left w:val="single" w:color="000000" w:sz="4" w:space="0"/>
              <w:bottom w:val="nil"/>
              <w:right w:val="single" w:color="000000" w:sz="4" w:space="0"/>
            </w:tcBorders>
            <w:shd w:val="clear" w:color="auto" w:fill="auto"/>
            <w:vAlign w:val="center"/>
          </w:tcPr>
          <w:p w14:paraId="02BFA655">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绩效指标</w:t>
            </w:r>
          </w:p>
        </w:tc>
        <w:tc>
          <w:tcPr>
            <w:tcW w:w="286" w:type="pct"/>
            <w:vMerge w:val="restart"/>
            <w:tcBorders>
              <w:top w:val="single" w:color="000000" w:sz="4" w:space="0"/>
              <w:left w:val="single" w:color="000000" w:sz="4" w:space="0"/>
              <w:bottom w:val="nil"/>
              <w:right w:val="single" w:color="000000" w:sz="4" w:space="0"/>
            </w:tcBorders>
            <w:shd w:val="clear" w:color="auto" w:fill="auto"/>
            <w:vAlign w:val="center"/>
          </w:tcPr>
          <w:p w14:paraId="0D5CC853">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产出指标</w:t>
            </w:r>
          </w:p>
        </w:tc>
        <w:tc>
          <w:tcPr>
            <w:tcW w:w="412" w:type="pct"/>
            <w:vMerge w:val="restart"/>
            <w:tcBorders>
              <w:top w:val="single" w:color="000000" w:sz="4" w:space="0"/>
              <w:left w:val="single" w:color="000000" w:sz="4" w:space="0"/>
              <w:bottom w:val="nil"/>
              <w:right w:val="single" w:color="000000" w:sz="4" w:space="0"/>
            </w:tcBorders>
            <w:shd w:val="clear" w:color="auto" w:fill="auto"/>
            <w:vAlign w:val="center"/>
          </w:tcPr>
          <w:p w14:paraId="3B7DC988">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数量指标</w:t>
            </w:r>
          </w:p>
        </w:tc>
        <w:tc>
          <w:tcPr>
            <w:tcW w:w="616" w:type="pct"/>
            <w:tcBorders>
              <w:top w:val="single" w:color="000000" w:sz="4" w:space="0"/>
              <w:left w:val="single" w:color="000000" w:sz="4" w:space="0"/>
              <w:bottom w:val="nil"/>
              <w:right w:val="single" w:color="000000" w:sz="4" w:space="0"/>
            </w:tcBorders>
            <w:shd w:val="clear" w:color="auto" w:fill="auto"/>
            <w:vAlign w:val="center"/>
          </w:tcPr>
          <w:p w14:paraId="63A94BC8">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工业锅炉法定检验数量</w:t>
            </w:r>
          </w:p>
        </w:tc>
        <w:tc>
          <w:tcPr>
            <w:tcW w:w="400" w:type="pct"/>
            <w:tcBorders>
              <w:top w:val="single" w:color="000000" w:sz="4" w:space="0"/>
              <w:left w:val="single" w:color="000000" w:sz="4" w:space="0"/>
              <w:bottom w:val="nil"/>
              <w:right w:val="single" w:color="000000" w:sz="4" w:space="0"/>
            </w:tcBorders>
            <w:shd w:val="clear" w:color="auto" w:fill="auto"/>
            <w:vAlign w:val="center"/>
          </w:tcPr>
          <w:p w14:paraId="70CD2EA4">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正向</w:t>
            </w:r>
          </w:p>
        </w:tc>
        <w:tc>
          <w:tcPr>
            <w:tcW w:w="486" w:type="pct"/>
            <w:tcBorders>
              <w:top w:val="single" w:color="000000" w:sz="4" w:space="0"/>
              <w:left w:val="single" w:color="000000" w:sz="4" w:space="0"/>
              <w:bottom w:val="nil"/>
              <w:right w:val="single" w:color="000000" w:sz="4" w:space="0"/>
            </w:tcBorders>
            <w:shd w:val="clear" w:color="auto" w:fill="auto"/>
            <w:vAlign w:val="center"/>
          </w:tcPr>
          <w:p w14:paraId="0A833481">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大于等于</w:t>
            </w:r>
          </w:p>
        </w:tc>
        <w:tc>
          <w:tcPr>
            <w:tcW w:w="451" w:type="pct"/>
            <w:tcBorders>
              <w:top w:val="single" w:color="000000" w:sz="4" w:space="0"/>
              <w:left w:val="single" w:color="000000" w:sz="4" w:space="0"/>
              <w:bottom w:val="nil"/>
              <w:right w:val="single" w:color="000000" w:sz="4" w:space="0"/>
            </w:tcBorders>
            <w:shd w:val="clear" w:color="auto" w:fill="auto"/>
            <w:vAlign w:val="center"/>
          </w:tcPr>
          <w:p w14:paraId="6681F421">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400</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227F89D4">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653</w:t>
            </w:r>
          </w:p>
        </w:tc>
        <w:tc>
          <w:tcPr>
            <w:tcW w:w="299" w:type="pct"/>
            <w:tcBorders>
              <w:top w:val="single" w:color="000000" w:sz="4" w:space="0"/>
              <w:left w:val="single" w:color="000000" w:sz="4" w:space="0"/>
              <w:bottom w:val="nil"/>
              <w:right w:val="single" w:color="000000" w:sz="4" w:space="0"/>
            </w:tcBorders>
            <w:shd w:val="clear" w:color="auto" w:fill="auto"/>
            <w:vAlign w:val="center"/>
          </w:tcPr>
          <w:p w14:paraId="11D75CD1">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0E106664">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2634C11A">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662" w:type="pct"/>
            <w:tcBorders>
              <w:top w:val="single" w:color="000000" w:sz="4" w:space="0"/>
              <w:left w:val="single" w:color="000000" w:sz="4" w:space="0"/>
              <w:bottom w:val="nil"/>
              <w:right w:val="single" w:color="000000" w:sz="4" w:space="0"/>
            </w:tcBorders>
            <w:shd w:val="clear" w:color="auto" w:fill="auto"/>
            <w:vAlign w:val="center"/>
          </w:tcPr>
          <w:p w14:paraId="50E0D3D1">
            <w:pPr>
              <w:jc w:val="center"/>
              <w:rPr>
                <w:rFonts w:hint="eastAsia" w:ascii="宋体" w:hAnsi="宋体" w:cs="宋体"/>
                <w:color w:val="000000"/>
                <w:sz w:val="15"/>
                <w:szCs w:val="15"/>
              </w:rPr>
            </w:pPr>
          </w:p>
        </w:tc>
      </w:tr>
      <w:tr w14:paraId="71518A3C">
        <w:tblPrEx>
          <w:tblCellMar>
            <w:top w:w="0" w:type="dxa"/>
            <w:left w:w="108" w:type="dxa"/>
            <w:bottom w:w="0" w:type="dxa"/>
            <w:right w:w="108" w:type="dxa"/>
          </w:tblCellMar>
        </w:tblPrEx>
        <w:trPr>
          <w:cantSplit/>
          <w:trHeight w:val="963" w:hRule="atLeast"/>
        </w:trPr>
        <w:tc>
          <w:tcPr>
            <w:tcW w:w="278" w:type="pct"/>
            <w:vMerge w:val="continue"/>
            <w:tcBorders>
              <w:top w:val="single" w:color="000000" w:sz="4" w:space="0"/>
              <w:left w:val="single" w:color="000000" w:sz="4" w:space="0"/>
              <w:bottom w:val="nil"/>
              <w:right w:val="single" w:color="000000" w:sz="4" w:space="0"/>
            </w:tcBorders>
            <w:shd w:val="clear" w:color="auto" w:fill="auto"/>
            <w:vAlign w:val="center"/>
          </w:tcPr>
          <w:p w14:paraId="7365A98B">
            <w:pPr>
              <w:jc w:val="center"/>
              <w:rPr>
                <w:rFonts w:hint="eastAsia" w:ascii="宋体" w:hAnsi="宋体" w:cs="宋体"/>
                <w:color w:val="000000"/>
                <w:sz w:val="15"/>
                <w:szCs w:val="15"/>
              </w:rPr>
            </w:pPr>
          </w:p>
        </w:tc>
        <w:tc>
          <w:tcPr>
            <w:tcW w:w="286" w:type="pct"/>
            <w:vMerge w:val="continue"/>
            <w:tcBorders>
              <w:top w:val="single" w:color="000000" w:sz="4" w:space="0"/>
              <w:left w:val="single" w:color="000000" w:sz="4" w:space="0"/>
              <w:bottom w:val="nil"/>
              <w:right w:val="single" w:color="000000" w:sz="4" w:space="0"/>
            </w:tcBorders>
            <w:shd w:val="clear" w:color="auto" w:fill="auto"/>
            <w:vAlign w:val="center"/>
          </w:tcPr>
          <w:p w14:paraId="1E262A1E">
            <w:pPr>
              <w:jc w:val="center"/>
              <w:rPr>
                <w:rFonts w:hint="eastAsia" w:ascii="宋体" w:hAnsi="宋体" w:cs="宋体"/>
                <w:color w:val="000000"/>
                <w:sz w:val="15"/>
                <w:szCs w:val="15"/>
              </w:rPr>
            </w:pPr>
          </w:p>
        </w:tc>
        <w:tc>
          <w:tcPr>
            <w:tcW w:w="412" w:type="pct"/>
            <w:vMerge w:val="continue"/>
            <w:tcBorders>
              <w:top w:val="single" w:color="000000" w:sz="4" w:space="0"/>
              <w:left w:val="single" w:color="000000" w:sz="4" w:space="0"/>
              <w:bottom w:val="nil"/>
              <w:right w:val="single" w:color="000000" w:sz="4" w:space="0"/>
            </w:tcBorders>
            <w:shd w:val="clear" w:color="auto" w:fill="auto"/>
            <w:vAlign w:val="center"/>
          </w:tcPr>
          <w:p w14:paraId="392A74AD">
            <w:pPr>
              <w:jc w:val="center"/>
              <w:rPr>
                <w:rFonts w:hint="eastAsia" w:ascii="宋体" w:hAnsi="宋体" w:cs="宋体"/>
                <w:color w:val="000000"/>
                <w:sz w:val="15"/>
                <w:szCs w:val="15"/>
              </w:rPr>
            </w:pPr>
          </w:p>
        </w:tc>
        <w:tc>
          <w:tcPr>
            <w:tcW w:w="616" w:type="pct"/>
            <w:tcBorders>
              <w:top w:val="single" w:color="000000" w:sz="4" w:space="0"/>
              <w:left w:val="single" w:color="000000" w:sz="4" w:space="0"/>
              <w:bottom w:val="nil"/>
              <w:right w:val="single" w:color="000000" w:sz="4" w:space="0"/>
            </w:tcBorders>
            <w:shd w:val="clear" w:color="auto" w:fill="auto"/>
            <w:vAlign w:val="center"/>
          </w:tcPr>
          <w:p w14:paraId="2CCAD808">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电梯监督检验数量</w:t>
            </w:r>
          </w:p>
        </w:tc>
        <w:tc>
          <w:tcPr>
            <w:tcW w:w="400" w:type="pct"/>
            <w:tcBorders>
              <w:top w:val="single" w:color="000000" w:sz="4" w:space="0"/>
              <w:left w:val="single" w:color="000000" w:sz="4" w:space="0"/>
              <w:bottom w:val="nil"/>
              <w:right w:val="single" w:color="000000" w:sz="4" w:space="0"/>
            </w:tcBorders>
            <w:shd w:val="clear" w:color="auto" w:fill="auto"/>
            <w:vAlign w:val="center"/>
          </w:tcPr>
          <w:p w14:paraId="7CCE73CF">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正向</w:t>
            </w:r>
          </w:p>
        </w:tc>
        <w:tc>
          <w:tcPr>
            <w:tcW w:w="486" w:type="pct"/>
            <w:tcBorders>
              <w:top w:val="single" w:color="000000" w:sz="4" w:space="0"/>
              <w:left w:val="single" w:color="000000" w:sz="4" w:space="0"/>
              <w:bottom w:val="nil"/>
              <w:right w:val="single" w:color="000000" w:sz="4" w:space="0"/>
            </w:tcBorders>
            <w:shd w:val="clear" w:color="auto" w:fill="auto"/>
            <w:vAlign w:val="center"/>
          </w:tcPr>
          <w:p w14:paraId="173DC24A">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大于等于</w:t>
            </w:r>
          </w:p>
        </w:tc>
        <w:tc>
          <w:tcPr>
            <w:tcW w:w="451" w:type="pct"/>
            <w:tcBorders>
              <w:top w:val="single" w:color="000000" w:sz="4" w:space="0"/>
              <w:left w:val="single" w:color="000000" w:sz="4" w:space="0"/>
              <w:bottom w:val="nil"/>
              <w:right w:val="single" w:color="000000" w:sz="4" w:space="0"/>
            </w:tcBorders>
            <w:shd w:val="clear" w:color="auto" w:fill="auto"/>
            <w:vAlign w:val="center"/>
          </w:tcPr>
          <w:p w14:paraId="37534E8D">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500</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11F93D82">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874</w:t>
            </w:r>
          </w:p>
        </w:tc>
        <w:tc>
          <w:tcPr>
            <w:tcW w:w="299" w:type="pct"/>
            <w:tcBorders>
              <w:top w:val="single" w:color="000000" w:sz="4" w:space="0"/>
              <w:left w:val="single" w:color="000000" w:sz="4" w:space="0"/>
              <w:bottom w:val="nil"/>
              <w:right w:val="single" w:color="000000" w:sz="4" w:space="0"/>
            </w:tcBorders>
            <w:shd w:val="clear" w:color="auto" w:fill="auto"/>
            <w:vAlign w:val="center"/>
          </w:tcPr>
          <w:p w14:paraId="21B9663E">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部</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60940CF9">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2AC28BFE">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662" w:type="pct"/>
            <w:tcBorders>
              <w:top w:val="single" w:color="000000" w:sz="4" w:space="0"/>
              <w:left w:val="single" w:color="000000" w:sz="4" w:space="0"/>
              <w:bottom w:val="nil"/>
              <w:right w:val="single" w:color="000000" w:sz="4" w:space="0"/>
            </w:tcBorders>
            <w:shd w:val="clear" w:color="auto" w:fill="auto"/>
            <w:vAlign w:val="center"/>
          </w:tcPr>
          <w:p w14:paraId="04815975">
            <w:pPr>
              <w:jc w:val="center"/>
              <w:rPr>
                <w:rFonts w:hint="eastAsia" w:ascii="宋体" w:hAnsi="宋体" w:cs="宋体"/>
                <w:color w:val="000000"/>
                <w:sz w:val="15"/>
                <w:szCs w:val="15"/>
              </w:rPr>
            </w:pPr>
          </w:p>
        </w:tc>
      </w:tr>
      <w:tr w14:paraId="7B4AB84B">
        <w:tblPrEx>
          <w:tblCellMar>
            <w:top w:w="0" w:type="dxa"/>
            <w:left w:w="108" w:type="dxa"/>
            <w:bottom w:w="0" w:type="dxa"/>
            <w:right w:w="108" w:type="dxa"/>
          </w:tblCellMar>
        </w:tblPrEx>
        <w:trPr>
          <w:cantSplit/>
          <w:trHeight w:val="57" w:hRule="atLeast"/>
        </w:trPr>
        <w:tc>
          <w:tcPr>
            <w:tcW w:w="278" w:type="pct"/>
            <w:vMerge w:val="continue"/>
            <w:tcBorders>
              <w:top w:val="single" w:color="000000" w:sz="4" w:space="0"/>
              <w:left w:val="single" w:color="000000" w:sz="4" w:space="0"/>
              <w:bottom w:val="nil"/>
              <w:right w:val="single" w:color="000000" w:sz="4" w:space="0"/>
            </w:tcBorders>
            <w:shd w:val="clear" w:color="auto" w:fill="auto"/>
            <w:vAlign w:val="center"/>
          </w:tcPr>
          <w:p w14:paraId="60310A7E">
            <w:pPr>
              <w:jc w:val="center"/>
              <w:rPr>
                <w:rFonts w:hint="eastAsia" w:ascii="宋体" w:hAnsi="宋体" w:cs="宋体"/>
                <w:color w:val="000000"/>
                <w:sz w:val="15"/>
                <w:szCs w:val="15"/>
              </w:rPr>
            </w:pPr>
          </w:p>
        </w:tc>
        <w:tc>
          <w:tcPr>
            <w:tcW w:w="286" w:type="pct"/>
            <w:vMerge w:val="continue"/>
            <w:tcBorders>
              <w:top w:val="single" w:color="000000" w:sz="4" w:space="0"/>
              <w:left w:val="single" w:color="000000" w:sz="4" w:space="0"/>
              <w:bottom w:val="nil"/>
              <w:right w:val="single" w:color="000000" w:sz="4" w:space="0"/>
            </w:tcBorders>
            <w:shd w:val="clear" w:color="auto" w:fill="auto"/>
            <w:vAlign w:val="center"/>
          </w:tcPr>
          <w:p w14:paraId="546C76CA">
            <w:pPr>
              <w:jc w:val="center"/>
              <w:rPr>
                <w:rFonts w:hint="eastAsia" w:ascii="宋体" w:hAnsi="宋体" w:cs="宋体"/>
                <w:color w:val="000000"/>
                <w:sz w:val="15"/>
                <w:szCs w:val="15"/>
              </w:rPr>
            </w:pPr>
          </w:p>
        </w:tc>
        <w:tc>
          <w:tcPr>
            <w:tcW w:w="412" w:type="pct"/>
            <w:vMerge w:val="continue"/>
            <w:tcBorders>
              <w:top w:val="single" w:color="000000" w:sz="4" w:space="0"/>
              <w:left w:val="single" w:color="000000" w:sz="4" w:space="0"/>
              <w:bottom w:val="nil"/>
              <w:right w:val="single" w:color="000000" w:sz="4" w:space="0"/>
            </w:tcBorders>
            <w:shd w:val="clear" w:color="auto" w:fill="auto"/>
            <w:vAlign w:val="center"/>
          </w:tcPr>
          <w:p w14:paraId="6015F640">
            <w:pPr>
              <w:jc w:val="center"/>
              <w:rPr>
                <w:rFonts w:hint="eastAsia" w:ascii="宋体" w:hAnsi="宋体" w:cs="宋体"/>
                <w:color w:val="000000"/>
                <w:sz w:val="15"/>
                <w:szCs w:val="15"/>
              </w:rPr>
            </w:pPr>
          </w:p>
        </w:tc>
        <w:tc>
          <w:tcPr>
            <w:tcW w:w="616" w:type="pct"/>
            <w:tcBorders>
              <w:top w:val="single" w:color="000000" w:sz="4" w:space="0"/>
              <w:left w:val="single" w:color="000000" w:sz="4" w:space="0"/>
              <w:bottom w:val="nil"/>
              <w:right w:val="single" w:color="000000" w:sz="4" w:space="0"/>
            </w:tcBorders>
            <w:shd w:val="clear" w:color="auto" w:fill="auto"/>
            <w:vAlign w:val="center"/>
          </w:tcPr>
          <w:p w14:paraId="4594F168">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起重机械定期及监督检验数量</w:t>
            </w:r>
          </w:p>
        </w:tc>
        <w:tc>
          <w:tcPr>
            <w:tcW w:w="400" w:type="pct"/>
            <w:tcBorders>
              <w:top w:val="single" w:color="000000" w:sz="4" w:space="0"/>
              <w:left w:val="single" w:color="000000" w:sz="4" w:space="0"/>
              <w:bottom w:val="nil"/>
              <w:right w:val="single" w:color="000000" w:sz="4" w:space="0"/>
            </w:tcBorders>
            <w:shd w:val="clear" w:color="auto" w:fill="auto"/>
            <w:vAlign w:val="center"/>
          </w:tcPr>
          <w:p w14:paraId="7DFDFBCB">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正向</w:t>
            </w:r>
          </w:p>
        </w:tc>
        <w:tc>
          <w:tcPr>
            <w:tcW w:w="486" w:type="pct"/>
            <w:tcBorders>
              <w:top w:val="single" w:color="000000" w:sz="4" w:space="0"/>
              <w:left w:val="single" w:color="000000" w:sz="4" w:space="0"/>
              <w:bottom w:val="nil"/>
              <w:right w:val="single" w:color="000000" w:sz="4" w:space="0"/>
            </w:tcBorders>
            <w:shd w:val="clear" w:color="auto" w:fill="auto"/>
            <w:vAlign w:val="center"/>
          </w:tcPr>
          <w:p w14:paraId="13B192DC">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大于等于</w:t>
            </w:r>
          </w:p>
        </w:tc>
        <w:tc>
          <w:tcPr>
            <w:tcW w:w="451" w:type="pct"/>
            <w:tcBorders>
              <w:top w:val="single" w:color="000000" w:sz="4" w:space="0"/>
              <w:left w:val="single" w:color="000000" w:sz="4" w:space="0"/>
              <w:bottom w:val="nil"/>
              <w:right w:val="single" w:color="000000" w:sz="4" w:space="0"/>
            </w:tcBorders>
            <w:shd w:val="clear" w:color="auto" w:fill="auto"/>
            <w:vAlign w:val="center"/>
          </w:tcPr>
          <w:p w14:paraId="1E5BBBFE">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668</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4047D059">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1069</w:t>
            </w:r>
          </w:p>
        </w:tc>
        <w:tc>
          <w:tcPr>
            <w:tcW w:w="299" w:type="pct"/>
            <w:tcBorders>
              <w:top w:val="single" w:color="000000" w:sz="4" w:space="0"/>
              <w:left w:val="single" w:color="000000" w:sz="4" w:space="0"/>
              <w:bottom w:val="nil"/>
              <w:right w:val="single" w:color="000000" w:sz="4" w:space="0"/>
            </w:tcBorders>
            <w:shd w:val="clear" w:color="auto" w:fill="auto"/>
            <w:vAlign w:val="center"/>
          </w:tcPr>
          <w:p w14:paraId="1E10AE57">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00FD0871">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06397972">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662" w:type="pct"/>
            <w:tcBorders>
              <w:top w:val="single" w:color="000000" w:sz="4" w:space="0"/>
              <w:left w:val="single" w:color="000000" w:sz="4" w:space="0"/>
              <w:bottom w:val="nil"/>
              <w:right w:val="single" w:color="000000" w:sz="4" w:space="0"/>
            </w:tcBorders>
            <w:shd w:val="clear" w:color="auto" w:fill="auto"/>
            <w:vAlign w:val="center"/>
          </w:tcPr>
          <w:p w14:paraId="65F4CC33">
            <w:pPr>
              <w:jc w:val="center"/>
              <w:rPr>
                <w:rFonts w:hint="eastAsia" w:ascii="宋体" w:hAnsi="宋体" w:cs="宋体"/>
                <w:color w:val="000000"/>
                <w:sz w:val="15"/>
                <w:szCs w:val="15"/>
              </w:rPr>
            </w:pPr>
          </w:p>
        </w:tc>
      </w:tr>
      <w:tr w14:paraId="7823B83D">
        <w:tblPrEx>
          <w:tblCellMar>
            <w:top w:w="0" w:type="dxa"/>
            <w:left w:w="108" w:type="dxa"/>
            <w:bottom w:w="0" w:type="dxa"/>
            <w:right w:w="108" w:type="dxa"/>
          </w:tblCellMar>
        </w:tblPrEx>
        <w:trPr>
          <w:cantSplit/>
          <w:trHeight w:val="90" w:hRule="atLeast"/>
        </w:trPr>
        <w:tc>
          <w:tcPr>
            <w:tcW w:w="278" w:type="pct"/>
            <w:vMerge w:val="continue"/>
            <w:tcBorders>
              <w:top w:val="single" w:color="000000" w:sz="4" w:space="0"/>
              <w:left w:val="single" w:color="000000" w:sz="4" w:space="0"/>
              <w:bottom w:val="nil"/>
              <w:right w:val="single" w:color="000000" w:sz="4" w:space="0"/>
            </w:tcBorders>
            <w:shd w:val="clear" w:color="auto" w:fill="auto"/>
            <w:vAlign w:val="center"/>
          </w:tcPr>
          <w:p w14:paraId="7C8D082F">
            <w:pPr>
              <w:jc w:val="center"/>
              <w:rPr>
                <w:rFonts w:hint="eastAsia" w:ascii="宋体" w:hAnsi="宋体" w:cs="宋体"/>
                <w:color w:val="000000"/>
                <w:sz w:val="15"/>
                <w:szCs w:val="15"/>
              </w:rPr>
            </w:pPr>
          </w:p>
        </w:tc>
        <w:tc>
          <w:tcPr>
            <w:tcW w:w="286" w:type="pct"/>
            <w:vMerge w:val="continue"/>
            <w:tcBorders>
              <w:top w:val="single" w:color="000000" w:sz="4" w:space="0"/>
              <w:left w:val="single" w:color="000000" w:sz="4" w:space="0"/>
              <w:bottom w:val="nil"/>
              <w:right w:val="single" w:color="000000" w:sz="4" w:space="0"/>
            </w:tcBorders>
            <w:shd w:val="clear" w:color="auto" w:fill="auto"/>
            <w:vAlign w:val="center"/>
          </w:tcPr>
          <w:p w14:paraId="497FE57D">
            <w:pPr>
              <w:jc w:val="center"/>
              <w:rPr>
                <w:rFonts w:hint="eastAsia" w:ascii="宋体" w:hAnsi="宋体" w:cs="宋体"/>
                <w:color w:val="000000"/>
                <w:sz w:val="15"/>
                <w:szCs w:val="15"/>
              </w:rPr>
            </w:pPr>
          </w:p>
        </w:tc>
        <w:tc>
          <w:tcPr>
            <w:tcW w:w="412" w:type="pct"/>
            <w:vMerge w:val="continue"/>
            <w:tcBorders>
              <w:top w:val="single" w:color="000000" w:sz="4" w:space="0"/>
              <w:left w:val="single" w:color="000000" w:sz="4" w:space="0"/>
              <w:bottom w:val="nil"/>
              <w:right w:val="single" w:color="000000" w:sz="4" w:space="0"/>
            </w:tcBorders>
            <w:shd w:val="clear" w:color="auto" w:fill="auto"/>
            <w:vAlign w:val="center"/>
          </w:tcPr>
          <w:p w14:paraId="4A93D456">
            <w:pPr>
              <w:jc w:val="center"/>
              <w:rPr>
                <w:rFonts w:hint="eastAsia" w:ascii="宋体" w:hAnsi="宋体" w:cs="宋体"/>
                <w:color w:val="000000"/>
                <w:sz w:val="15"/>
                <w:szCs w:val="15"/>
              </w:rPr>
            </w:pPr>
          </w:p>
        </w:tc>
        <w:tc>
          <w:tcPr>
            <w:tcW w:w="616" w:type="pct"/>
            <w:tcBorders>
              <w:top w:val="single" w:color="000000" w:sz="4" w:space="0"/>
              <w:left w:val="single" w:color="000000" w:sz="4" w:space="0"/>
              <w:bottom w:val="nil"/>
              <w:right w:val="single" w:color="000000" w:sz="4" w:space="0"/>
            </w:tcBorders>
            <w:shd w:val="clear" w:color="auto" w:fill="auto"/>
            <w:vAlign w:val="center"/>
          </w:tcPr>
          <w:p w14:paraId="2445BE9C">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厂内专用机动车辆检验数量</w:t>
            </w:r>
          </w:p>
        </w:tc>
        <w:tc>
          <w:tcPr>
            <w:tcW w:w="400" w:type="pct"/>
            <w:tcBorders>
              <w:top w:val="single" w:color="000000" w:sz="4" w:space="0"/>
              <w:left w:val="single" w:color="000000" w:sz="4" w:space="0"/>
              <w:bottom w:val="nil"/>
              <w:right w:val="single" w:color="000000" w:sz="4" w:space="0"/>
            </w:tcBorders>
            <w:shd w:val="clear" w:color="auto" w:fill="auto"/>
            <w:vAlign w:val="center"/>
          </w:tcPr>
          <w:p w14:paraId="22AE3892">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正向</w:t>
            </w:r>
          </w:p>
        </w:tc>
        <w:tc>
          <w:tcPr>
            <w:tcW w:w="486" w:type="pct"/>
            <w:tcBorders>
              <w:top w:val="single" w:color="000000" w:sz="4" w:space="0"/>
              <w:left w:val="single" w:color="000000" w:sz="4" w:space="0"/>
              <w:bottom w:val="nil"/>
              <w:right w:val="single" w:color="000000" w:sz="4" w:space="0"/>
            </w:tcBorders>
            <w:shd w:val="clear" w:color="auto" w:fill="auto"/>
            <w:vAlign w:val="center"/>
          </w:tcPr>
          <w:p w14:paraId="10BD00F9">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大于等于</w:t>
            </w:r>
          </w:p>
        </w:tc>
        <w:tc>
          <w:tcPr>
            <w:tcW w:w="451" w:type="pct"/>
            <w:tcBorders>
              <w:top w:val="single" w:color="000000" w:sz="4" w:space="0"/>
              <w:left w:val="single" w:color="000000" w:sz="4" w:space="0"/>
              <w:bottom w:val="nil"/>
              <w:right w:val="single" w:color="000000" w:sz="4" w:space="0"/>
            </w:tcBorders>
            <w:shd w:val="clear" w:color="auto" w:fill="auto"/>
            <w:vAlign w:val="center"/>
          </w:tcPr>
          <w:p w14:paraId="3DDB1252">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819</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185AA0AB">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1122</w:t>
            </w:r>
          </w:p>
        </w:tc>
        <w:tc>
          <w:tcPr>
            <w:tcW w:w="299" w:type="pct"/>
            <w:tcBorders>
              <w:top w:val="single" w:color="000000" w:sz="4" w:space="0"/>
              <w:left w:val="single" w:color="000000" w:sz="4" w:space="0"/>
              <w:bottom w:val="nil"/>
              <w:right w:val="single" w:color="000000" w:sz="4" w:space="0"/>
            </w:tcBorders>
            <w:shd w:val="clear" w:color="auto" w:fill="auto"/>
            <w:vAlign w:val="center"/>
          </w:tcPr>
          <w:p w14:paraId="67D28188">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辆</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11C02E34">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14B934AB">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662" w:type="pct"/>
            <w:tcBorders>
              <w:top w:val="single" w:color="000000" w:sz="4" w:space="0"/>
              <w:left w:val="single" w:color="000000" w:sz="4" w:space="0"/>
              <w:bottom w:val="nil"/>
              <w:right w:val="single" w:color="000000" w:sz="4" w:space="0"/>
            </w:tcBorders>
            <w:shd w:val="clear" w:color="auto" w:fill="auto"/>
            <w:vAlign w:val="center"/>
          </w:tcPr>
          <w:p w14:paraId="20264B4E">
            <w:pPr>
              <w:jc w:val="center"/>
              <w:rPr>
                <w:rFonts w:hint="eastAsia" w:ascii="宋体" w:hAnsi="宋体" w:cs="宋体"/>
                <w:color w:val="000000"/>
                <w:sz w:val="15"/>
                <w:szCs w:val="15"/>
              </w:rPr>
            </w:pPr>
          </w:p>
        </w:tc>
      </w:tr>
      <w:tr w14:paraId="44613D46">
        <w:tblPrEx>
          <w:tblCellMar>
            <w:top w:w="0" w:type="dxa"/>
            <w:left w:w="108" w:type="dxa"/>
            <w:bottom w:w="0" w:type="dxa"/>
            <w:right w:w="108" w:type="dxa"/>
          </w:tblCellMar>
        </w:tblPrEx>
        <w:trPr>
          <w:cantSplit/>
          <w:trHeight w:val="90" w:hRule="atLeast"/>
        </w:trPr>
        <w:tc>
          <w:tcPr>
            <w:tcW w:w="278" w:type="pct"/>
            <w:vMerge w:val="continue"/>
            <w:tcBorders>
              <w:top w:val="single" w:color="000000" w:sz="4" w:space="0"/>
              <w:left w:val="single" w:color="000000" w:sz="4" w:space="0"/>
              <w:bottom w:val="nil"/>
              <w:right w:val="single" w:color="000000" w:sz="4" w:space="0"/>
            </w:tcBorders>
            <w:shd w:val="clear" w:color="auto" w:fill="auto"/>
            <w:vAlign w:val="center"/>
          </w:tcPr>
          <w:p w14:paraId="0D5FF240">
            <w:pPr>
              <w:jc w:val="center"/>
              <w:rPr>
                <w:rFonts w:hint="eastAsia" w:ascii="宋体" w:hAnsi="宋体" w:cs="宋体"/>
                <w:color w:val="000000"/>
                <w:sz w:val="15"/>
                <w:szCs w:val="15"/>
              </w:rPr>
            </w:pPr>
          </w:p>
        </w:tc>
        <w:tc>
          <w:tcPr>
            <w:tcW w:w="286" w:type="pct"/>
            <w:vMerge w:val="continue"/>
            <w:tcBorders>
              <w:top w:val="single" w:color="000000" w:sz="4" w:space="0"/>
              <w:left w:val="single" w:color="000000" w:sz="4" w:space="0"/>
              <w:bottom w:val="nil"/>
              <w:right w:val="single" w:color="000000" w:sz="4" w:space="0"/>
            </w:tcBorders>
            <w:shd w:val="clear" w:color="auto" w:fill="auto"/>
            <w:vAlign w:val="center"/>
          </w:tcPr>
          <w:p w14:paraId="34DD3EEB">
            <w:pPr>
              <w:jc w:val="center"/>
              <w:rPr>
                <w:rFonts w:hint="eastAsia" w:ascii="宋体" w:hAnsi="宋体" w:cs="宋体"/>
                <w:color w:val="000000"/>
                <w:sz w:val="15"/>
                <w:szCs w:val="15"/>
              </w:rPr>
            </w:pPr>
          </w:p>
        </w:tc>
        <w:tc>
          <w:tcPr>
            <w:tcW w:w="412" w:type="pct"/>
            <w:vMerge w:val="continue"/>
            <w:tcBorders>
              <w:top w:val="single" w:color="000000" w:sz="4" w:space="0"/>
              <w:left w:val="single" w:color="000000" w:sz="4" w:space="0"/>
              <w:bottom w:val="nil"/>
              <w:right w:val="single" w:color="000000" w:sz="4" w:space="0"/>
            </w:tcBorders>
            <w:shd w:val="clear" w:color="auto" w:fill="auto"/>
            <w:vAlign w:val="center"/>
          </w:tcPr>
          <w:p w14:paraId="26C383A8">
            <w:pPr>
              <w:jc w:val="center"/>
              <w:rPr>
                <w:rFonts w:hint="eastAsia" w:ascii="宋体" w:hAnsi="宋体" w:cs="宋体"/>
                <w:color w:val="000000"/>
                <w:sz w:val="15"/>
                <w:szCs w:val="15"/>
              </w:rPr>
            </w:pPr>
          </w:p>
        </w:tc>
        <w:tc>
          <w:tcPr>
            <w:tcW w:w="616" w:type="pct"/>
            <w:tcBorders>
              <w:top w:val="single" w:color="000000" w:sz="4" w:space="0"/>
              <w:left w:val="single" w:color="000000" w:sz="4" w:space="0"/>
              <w:bottom w:val="nil"/>
              <w:right w:val="single" w:color="000000" w:sz="4" w:space="0"/>
            </w:tcBorders>
            <w:shd w:val="clear" w:color="auto" w:fill="auto"/>
            <w:vAlign w:val="center"/>
          </w:tcPr>
          <w:p w14:paraId="359E860B">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压力管道法定检测数量</w:t>
            </w:r>
          </w:p>
        </w:tc>
        <w:tc>
          <w:tcPr>
            <w:tcW w:w="400" w:type="pct"/>
            <w:tcBorders>
              <w:top w:val="single" w:color="000000" w:sz="4" w:space="0"/>
              <w:left w:val="single" w:color="000000" w:sz="4" w:space="0"/>
              <w:bottom w:val="nil"/>
              <w:right w:val="single" w:color="000000" w:sz="4" w:space="0"/>
            </w:tcBorders>
            <w:shd w:val="clear" w:color="auto" w:fill="auto"/>
            <w:vAlign w:val="center"/>
          </w:tcPr>
          <w:p w14:paraId="1D892ED0">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正向</w:t>
            </w:r>
          </w:p>
        </w:tc>
        <w:tc>
          <w:tcPr>
            <w:tcW w:w="486" w:type="pct"/>
            <w:tcBorders>
              <w:top w:val="single" w:color="000000" w:sz="4" w:space="0"/>
              <w:left w:val="single" w:color="000000" w:sz="4" w:space="0"/>
              <w:bottom w:val="nil"/>
              <w:right w:val="single" w:color="000000" w:sz="4" w:space="0"/>
            </w:tcBorders>
            <w:shd w:val="clear" w:color="auto" w:fill="auto"/>
            <w:vAlign w:val="center"/>
          </w:tcPr>
          <w:p w14:paraId="32D59ABC">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大于等于</w:t>
            </w:r>
          </w:p>
        </w:tc>
        <w:tc>
          <w:tcPr>
            <w:tcW w:w="451" w:type="pct"/>
            <w:tcBorders>
              <w:top w:val="single" w:color="000000" w:sz="4" w:space="0"/>
              <w:left w:val="single" w:color="000000" w:sz="4" w:space="0"/>
              <w:bottom w:val="nil"/>
              <w:right w:val="single" w:color="000000" w:sz="4" w:space="0"/>
            </w:tcBorders>
            <w:shd w:val="clear" w:color="auto" w:fill="auto"/>
            <w:vAlign w:val="center"/>
          </w:tcPr>
          <w:p w14:paraId="479DE87A">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105</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0FEC636B">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108.94</w:t>
            </w:r>
          </w:p>
        </w:tc>
        <w:tc>
          <w:tcPr>
            <w:tcW w:w="299" w:type="pct"/>
            <w:tcBorders>
              <w:top w:val="single" w:color="000000" w:sz="4" w:space="0"/>
              <w:left w:val="single" w:color="000000" w:sz="4" w:space="0"/>
              <w:bottom w:val="nil"/>
              <w:right w:val="single" w:color="000000" w:sz="4" w:space="0"/>
            </w:tcBorders>
            <w:shd w:val="clear" w:color="auto" w:fill="auto"/>
            <w:vAlign w:val="center"/>
          </w:tcPr>
          <w:p w14:paraId="7AAEC434">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公里</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1DA9F1E8">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1BB2243B">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662" w:type="pct"/>
            <w:tcBorders>
              <w:top w:val="single" w:color="000000" w:sz="4" w:space="0"/>
              <w:left w:val="single" w:color="000000" w:sz="4" w:space="0"/>
              <w:bottom w:val="nil"/>
              <w:right w:val="single" w:color="000000" w:sz="4" w:space="0"/>
            </w:tcBorders>
            <w:shd w:val="clear" w:color="auto" w:fill="auto"/>
            <w:vAlign w:val="center"/>
          </w:tcPr>
          <w:p w14:paraId="1C24A1D6">
            <w:pPr>
              <w:jc w:val="center"/>
              <w:rPr>
                <w:rFonts w:hint="eastAsia" w:ascii="宋体" w:hAnsi="宋体" w:cs="宋体"/>
                <w:color w:val="000000"/>
                <w:sz w:val="15"/>
                <w:szCs w:val="15"/>
              </w:rPr>
            </w:pPr>
          </w:p>
        </w:tc>
      </w:tr>
      <w:tr w14:paraId="473890EA">
        <w:tblPrEx>
          <w:tblCellMar>
            <w:top w:w="0" w:type="dxa"/>
            <w:left w:w="108" w:type="dxa"/>
            <w:bottom w:w="0" w:type="dxa"/>
            <w:right w:w="108" w:type="dxa"/>
          </w:tblCellMar>
        </w:tblPrEx>
        <w:trPr>
          <w:cantSplit/>
          <w:trHeight w:val="90" w:hRule="atLeast"/>
        </w:trPr>
        <w:tc>
          <w:tcPr>
            <w:tcW w:w="278" w:type="pct"/>
            <w:vMerge w:val="continue"/>
            <w:tcBorders>
              <w:top w:val="single" w:color="000000" w:sz="4" w:space="0"/>
              <w:left w:val="single" w:color="000000" w:sz="4" w:space="0"/>
              <w:bottom w:val="nil"/>
              <w:right w:val="single" w:color="000000" w:sz="4" w:space="0"/>
            </w:tcBorders>
            <w:shd w:val="clear" w:color="auto" w:fill="auto"/>
            <w:vAlign w:val="center"/>
          </w:tcPr>
          <w:p w14:paraId="6178788D">
            <w:pPr>
              <w:jc w:val="center"/>
              <w:rPr>
                <w:rFonts w:hint="eastAsia" w:ascii="宋体" w:hAnsi="宋体" w:cs="宋体"/>
                <w:color w:val="000000"/>
                <w:sz w:val="15"/>
                <w:szCs w:val="15"/>
              </w:rPr>
            </w:pPr>
          </w:p>
        </w:tc>
        <w:tc>
          <w:tcPr>
            <w:tcW w:w="286" w:type="pct"/>
            <w:vMerge w:val="continue"/>
            <w:tcBorders>
              <w:top w:val="single" w:color="000000" w:sz="4" w:space="0"/>
              <w:left w:val="single" w:color="000000" w:sz="4" w:space="0"/>
              <w:bottom w:val="nil"/>
              <w:right w:val="single" w:color="000000" w:sz="4" w:space="0"/>
            </w:tcBorders>
            <w:shd w:val="clear" w:color="auto" w:fill="auto"/>
            <w:vAlign w:val="center"/>
          </w:tcPr>
          <w:p w14:paraId="65B5960F">
            <w:pPr>
              <w:jc w:val="center"/>
              <w:rPr>
                <w:rFonts w:hint="eastAsia" w:ascii="宋体" w:hAnsi="宋体" w:cs="宋体"/>
                <w:color w:val="000000"/>
                <w:sz w:val="15"/>
                <w:szCs w:val="15"/>
              </w:rPr>
            </w:pPr>
          </w:p>
        </w:tc>
        <w:tc>
          <w:tcPr>
            <w:tcW w:w="412" w:type="pct"/>
            <w:vMerge w:val="continue"/>
            <w:tcBorders>
              <w:top w:val="single" w:color="000000" w:sz="4" w:space="0"/>
              <w:left w:val="single" w:color="000000" w:sz="4" w:space="0"/>
              <w:bottom w:val="nil"/>
              <w:right w:val="single" w:color="000000" w:sz="4" w:space="0"/>
            </w:tcBorders>
            <w:shd w:val="clear" w:color="auto" w:fill="auto"/>
            <w:vAlign w:val="center"/>
          </w:tcPr>
          <w:p w14:paraId="024A9951">
            <w:pPr>
              <w:jc w:val="center"/>
              <w:rPr>
                <w:rFonts w:hint="eastAsia" w:ascii="宋体" w:hAnsi="宋体" w:cs="宋体"/>
                <w:color w:val="000000"/>
                <w:sz w:val="15"/>
                <w:szCs w:val="15"/>
              </w:rPr>
            </w:pPr>
          </w:p>
        </w:tc>
        <w:tc>
          <w:tcPr>
            <w:tcW w:w="616" w:type="pct"/>
            <w:tcBorders>
              <w:top w:val="single" w:color="000000" w:sz="4" w:space="0"/>
              <w:left w:val="single" w:color="000000" w:sz="4" w:space="0"/>
              <w:bottom w:val="nil"/>
              <w:right w:val="single" w:color="000000" w:sz="4" w:space="0"/>
            </w:tcBorders>
            <w:shd w:val="clear" w:color="auto" w:fill="auto"/>
            <w:vAlign w:val="center"/>
          </w:tcPr>
          <w:p w14:paraId="02E86011">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压力管道监督检测数量</w:t>
            </w:r>
          </w:p>
        </w:tc>
        <w:tc>
          <w:tcPr>
            <w:tcW w:w="400" w:type="pct"/>
            <w:tcBorders>
              <w:top w:val="single" w:color="000000" w:sz="4" w:space="0"/>
              <w:left w:val="single" w:color="000000" w:sz="4" w:space="0"/>
              <w:bottom w:val="nil"/>
              <w:right w:val="single" w:color="000000" w:sz="4" w:space="0"/>
            </w:tcBorders>
            <w:shd w:val="clear" w:color="auto" w:fill="auto"/>
            <w:vAlign w:val="center"/>
          </w:tcPr>
          <w:p w14:paraId="27BA2307">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正向</w:t>
            </w:r>
          </w:p>
        </w:tc>
        <w:tc>
          <w:tcPr>
            <w:tcW w:w="486" w:type="pct"/>
            <w:tcBorders>
              <w:top w:val="single" w:color="000000" w:sz="4" w:space="0"/>
              <w:left w:val="single" w:color="000000" w:sz="4" w:space="0"/>
              <w:bottom w:val="nil"/>
              <w:right w:val="single" w:color="000000" w:sz="4" w:space="0"/>
            </w:tcBorders>
            <w:shd w:val="clear" w:color="auto" w:fill="auto"/>
            <w:vAlign w:val="center"/>
          </w:tcPr>
          <w:p w14:paraId="2ADE8C85">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大于等于</w:t>
            </w:r>
          </w:p>
        </w:tc>
        <w:tc>
          <w:tcPr>
            <w:tcW w:w="451" w:type="pct"/>
            <w:tcBorders>
              <w:top w:val="single" w:color="000000" w:sz="4" w:space="0"/>
              <w:left w:val="single" w:color="000000" w:sz="4" w:space="0"/>
              <w:bottom w:val="nil"/>
              <w:right w:val="single" w:color="000000" w:sz="4" w:space="0"/>
            </w:tcBorders>
            <w:shd w:val="clear" w:color="auto" w:fill="auto"/>
            <w:vAlign w:val="center"/>
          </w:tcPr>
          <w:p w14:paraId="36C1995E">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37.5</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3C2576D4">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67.93</w:t>
            </w:r>
          </w:p>
        </w:tc>
        <w:tc>
          <w:tcPr>
            <w:tcW w:w="299" w:type="pct"/>
            <w:tcBorders>
              <w:top w:val="single" w:color="000000" w:sz="4" w:space="0"/>
              <w:left w:val="single" w:color="000000" w:sz="4" w:space="0"/>
              <w:bottom w:val="nil"/>
              <w:right w:val="single" w:color="000000" w:sz="4" w:space="0"/>
            </w:tcBorders>
            <w:shd w:val="clear" w:color="auto" w:fill="auto"/>
            <w:vAlign w:val="center"/>
          </w:tcPr>
          <w:p w14:paraId="044C6807">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公里</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023F9330">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5BFE4638">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662" w:type="pct"/>
            <w:tcBorders>
              <w:top w:val="single" w:color="000000" w:sz="4" w:space="0"/>
              <w:left w:val="single" w:color="000000" w:sz="4" w:space="0"/>
              <w:bottom w:val="nil"/>
              <w:right w:val="single" w:color="000000" w:sz="4" w:space="0"/>
            </w:tcBorders>
            <w:shd w:val="clear" w:color="auto" w:fill="auto"/>
            <w:vAlign w:val="center"/>
          </w:tcPr>
          <w:p w14:paraId="44D8AB83">
            <w:pPr>
              <w:jc w:val="center"/>
              <w:rPr>
                <w:rFonts w:hint="eastAsia" w:ascii="宋体" w:hAnsi="宋体" w:cs="宋体"/>
                <w:color w:val="000000"/>
                <w:sz w:val="15"/>
                <w:szCs w:val="15"/>
              </w:rPr>
            </w:pPr>
          </w:p>
        </w:tc>
      </w:tr>
      <w:tr w14:paraId="030C82FE">
        <w:tblPrEx>
          <w:tblCellMar>
            <w:top w:w="0" w:type="dxa"/>
            <w:left w:w="108" w:type="dxa"/>
            <w:bottom w:w="0" w:type="dxa"/>
            <w:right w:w="108" w:type="dxa"/>
          </w:tblCellMar>
        </w:tblPrEx>
        <w:trPr>
          <w:cantSplit/>
          <w:trHeight w:val="90" w:hRule="atLeast"/>
        </w:trPr>
        <w:tc>
          <w:tcPr>
            <w:tcW w:w="278" w:type="pct"/>
            <w:vMerge w:val="continue"/>
            <w:tcBorders>
              <w:top w:val="single" w:color="000000" w:sz="4" w:space="0"/>
              <w:left w:val="single" w:color="000000" w:sz="4" w:space="0"/>
              <w:bottom w:val="nil"/>
              <w:right w:val="single" w:color="000000" w:sz="4" w:space="0"/>
            </w:tcBorders>
            <w:shd w:val="clear" w:color="auto" w:fill="auto"/>
            <w:vAlign w:val="center"/>
          </w:tcPr>
          <w:p w14:paraId="601C300E">
            <w:pPr>
              <w:jc w:val="center"/>
              <w:rPr>
                <w:rFonts w:hint="eastAsia" w:ascii="宋体" w:hAnsi="宋体" w:cs="宋体"/>
                <w:color w:val="000000"/>
                <w:sz w:val="15"/>
                <w:szCs w:val="15"/>
              </w:rPr>
            </w:pPr>
          </w:p>
        </w:tc>
        <w:tc>
          <w:tcPr>
            <w:tcW w:w="286" w:type="pct"/>
            <w:vMerge w:val="continue"/>
            <w:tcBorders>
              <w:top w:val="single" w:color="000000" w:sz="4" w:space="0"/>
              <w:left w:val="single" w:color="000000" w:sz="4" w:space="0"/>
              <w:bottom w:val="nil"/>
              <w:right w:val="single" w:color="000000" w:sz="4" w:space="0"/>
            </w:tcBorders>
            <w:shd w:val="clear" w:color="auto" w:fill="auto"/>
            <w:vAlign w:val="center"/>
          </w:tcPr>
          <w:p w14:paraId="346C7B21">
            <w:pPr>
              <w:jc w:val="center"/>
              <w:rPr>
                <w:rFonts w:hint="eastAsia" w:ascii="宋体" w:hAnsi="宋体" w:cs="宋体"/>
                <w:color w:val="000000"/>
                <w:sz w:val="15"/>
                <w:szCs w:val="15"/>
              </w:rPr>
            </w:pPr>
          </w:p>
        </w:tc>
        <w:tc>
          <w:tcPr>
            <w:tcW w:w="412" w:type="pct"/>
            <w:vMerge w:val="continue"/>
            <w:tcBorders>
              <w:top w:val="single" w:color="000000" w:sz="4" w:space="0"/>
              <w:left w:val="single" w:color="000000" w:sz="4" w:space="0"/>
              <w:bottom w:val="nil"/>
              <w:right w:val="single" w:color="000000" w:sz="4" w:space="0"/>
            </w:tcBorders>
            <w:shd w:val="clear" w:color="auto" w:fill="auto"/>
            <w:vAlign w:val="center"/>
          </w:tcPr>
          <w:p w14:paraId="40BC65FF">
            <w:pPr>
              <w:jc w:val="center"/>
              <w:rPr>
                <w:rFonts w:hint="eastAsia" w:ascii="宋体" w:hAnsi="宋体" w:cs="宋体"/>
                <w:color w:val="000000"/>
                <w:sz w:val="15"/>
                <w:szCs w:val="15"/>
              </w:rPr>
            </w:pPr>
          </w:p>
        </w:tc>
        <w:tc>
          <w:tcPr>
            <w:tcW w:w="616" w:type="pct"/>
            <w:tcBorders>
              <w:top w:val="single" w:color="000000" w:sz="4" w:space="0"/>
              <w:left w:val="single" w:color="000000" w:sz="4" w:space="0"/>
              <w:bottom w:val="nil"/>
              <w:right w:val="single" w:color="000000" w:sz="4" w:space="0"/>
            </w:tcBorders>
            <w:shd w:val="clear" w:color="auto" w:fill="auto"/>
            <w:vAlign w:val="center"/>
          </w:tcPr>
          <w:p w14:paraId="16A1CCA5">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压力容器法定检测数量</w:t>
            </w:r>
          </w:p>
        </w:tc>
        <w:tc>
          <w:tcPr>
            <w:tcW w:w="400" w:type="pct"/>
            <w:tcBorders>
              <w:top w:val="single" w:color="000000" w:sz="4" w:space="0"/>
              <w:left w:val="single" w:color="000000" w:sz="4" w:space="0"/>
              <w:bottom w:val="nil"/>
              <w:right w:val="single" w:color="000000" w:sz="4" w:space="0"/>
            </w:tcBorders>
            <w:shd w:val="clear" w:color="auto" w:fill="auto"/>
            <w:vAlign w:val="center"/>
          </w:tcPr>
          <w:p w14:paraId="583483B9">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正向</w:t>
            </w:r>
          </w:p>
        </w:tc>
        <w:tc>
          <w:tcPr>
            <w:tcW w:w="486" w:type="pct"/>
            <w:tcBorders>
              <w:top w:val="single" w:color="000000" w:sz="4" w:space="0"/>
              <w:left w:val="single" w:color="000000" w:sz="4" w:space="0"/>
              <w:bottom w:val="nil"/>
              <w:right w:val="single" w:color="000000" w:sz="4" w:space="0"/>
            </w:tcBorders>
            <w:shd w:val="clear" w:color="auto" w:fill="auto"/>
            <w:vAlign w:val="center"/>
          </w:tcPr>
          <w:p w14:paraId="71AE295E">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大于等于</w:t>
            </w:r>
          </w:p>
        </w:tc>
        <w:tc>
          <w:tcPr>
            <w:tcW w:w="451" w:type="pct"/>
            <w:tcBorders>
              <w:top w:val="single" w:color="000000" w:sz="4" w:space="0"/>
              <w:left w:val="single" w:color="000000" w:sz="4" w:space="0"/>
              <w:bottom w:val="nil"/>
              <w:right w:val="single" w:color="000000" w:sz="4" w:space="0"/>
            </w:tcBorders>
            <w:shd w:val="clear" w:color="auto" w:fill="auto"/>
            <w:vAlign w:val="center"/>
          </w:tcPr>
          <w:p w14:paraId="41760132">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400</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6718B35A">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4801</w:t>
            </w:r>
          </w:p>
        </w:tc>
        <w:tc>
          <w:tcPr>
            <w:tcW w:w="299" w:type="pct"/>
            <w:tcBorders>
              <w:top w:val="single" w:color="000000" w:sz="4" w:space="0"/>
              <w:left w:val="single" w:color="000000" w:sz="4" w:space="0"/>
              <w:bottom w:val="nil"/>
              <w:right w:val="single" w:color="000000" w:sz="4" w:space="0"/>
            </w:tcBorders>
            <w:shd w:val="clear" w:color="auto" w:fill="auto"/>
            <w:vAlign w:val="center"/>
          </w:tcPr>
          <w:p w14:paraId="39A57BE2">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1C8E4E11">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1A55A829">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662" w:type="pct"/>
            <w:tcBorders>
              <w:top w:val="single" w:color="000000" w:sz="4" w:space="0"/>
              <w:left w:val="single" w:color="000000" w:sz="4" w:space="0"/>
              <w:bottom w:val="nil"/>
              <w:right w:val="single" w:color="000000" w:sz="4" w:space="0"/>
            </w:tcBorders>
            <w:shd w:val="clear" w:color="auto" w:fill="auto"/>
            <w:vAlign w:val="center"/>
          </w:tcPr>
          <w:p w14:paraId="6320F965">
            <w:pPr>
              <w:jc w:val="center"/>
              <w:rPr>
                <w:rFonts w:hint="eastAsia" w:ascii="宋体" w:hAnsi="宋体" w:cs="宋体"/>
                <w:color w:val="000000"/>
                <w:sz w:val="15"/>
                <w:szCs w:val="15"/>
              </w:rPr>
            </w:pPr>
          </w:p>
        </w:tc>
      </w:tr>
      <w:tr w14:paraId="6892A58A">
        <w:tblPrEx>
          <w:tblCellMar>
            <w:top w:w="0" w:type="dxa"/>
            <w:left w:w="108" w:type="dxa"/>
            <w:bottom w:w="0" w:type="dxa"/>
            <w:right w:w="108" w:type="dxa"/>
          </w:tblCellMar>
        </w:tblPrEx>
        <w:trPr>
          <w:cantSplit/>
          <w:trHeight w:val="90" w:hRule="atLeast"/>
        </w:trPr>
        <w:tc>
          <w:tcPr>
            <w:tcW w:w="278" w:type="pct"/>
            <w:vMerge w:val="continue"/>
            <w:tcBorders>
              <w:top w:val="single" w:color="000000" w:sz="4" w:space="0"/>
              <w:left w:val="single" w:color="000000" w:sz="4" w:space="0"/>
              <w:bottom w:val="nil"/>
              <w:right w:val="single" w:color="000000" w:sz="4" w:space="0"/>
            </w:tcBorders>
            <w:shd w:val="clear" w:color="auto" w:fill="auto"/>
            <w:vAlign w:val="center"/>
          </w:tcPr>
          <w:p w14:paraId="120A01F3">
            <w:pPr>
              <w:jc w:val="center"/>
              <w:rPr>
                <w:rFonts w:hint="eastAsia" w:ascii="宋体" w:hAnsi="宋体" w:cs="宋体"/>
                <w:color w:val="000000"/>
                <w:sz w:val="15"/>
                <w:szCs w:val="15"/>
              </w:rPr>
            </w:pPr>
          </w:p>
        </w:tc>
        <w:tc>
          <w:tcPr>
            <w:tcW w:w="286" w:type="pct"/>
            <w:vMerge w:val="continue"/>
            <w:tcBorders>
              <w:top w:val="single" w:color="000000" w:sz="4" w:space="0"/>
              <w:left w:val="single" w:color="000000" w:sz="4" w:space="0"/>
              <w:bottom w:val="nil"/>
              <w:right w:val="single" w:color="000000" w:sz="4" w:space="0"/>
            </w:tcBorders>
            <w:shd w:val="clear" w:color="auto" w:fill="auto"/>
            <w:vAlign w:val="center"/>
          </w:tcPr>
          <w:p w14:paraId="24F9792F">
            <w:pPr>
              <w:jc w:val="center"/>
              <w:rPr>
                <w:rFonts w:hint="eastAsia" w:ascii="宋体" w:hAnsi="宋体" w:cs="宋体"/>
                <w:color w:val="000000"/>
                <w:sz w:val="15"/>
                <w:szCs w:val="15"/>
              </w:rPr>
            </w:pPr>
          </w:p>
        </w:tc>
        <w:tc>
          <w:tcPr>
            <w:tcW w:w="412" w:type="pct"/>
            <w:vMerge w:val="continue"/>
            <w:tcBorders>
              <w:top w:val="single" w:color="000000" w:sz="4" w:space="0"/>
              <w:left w:val="single" w:color="000000" w:sz="4" w:space="0"/>
              <w:bottom w:val="nil"/>
              <w:right w:val="single" w:color="000000" w:sz="4" w:space="0"/>
            </w:tcBorders>
            <w:shd w:val="clear" w:color="auto" w:fill="auto"/>
            <w:vAlign w:val="center"/>
          </w:tcPr>
          <w:p w14:paraId="11AAC982">
            <w:pPr>
              <w:jc w:val="center"/>
              <w:rPr>
                <w:rFonts w:hint="eastAsia" w:ascii="宋体" w:hAnsi="宋体" w:cs="宋体"/>
                <w:color w:val="000000"/>
                <w:sz w:val="15"/>
                <w:szCs w:val="15"/>
              </w:rPr>
            </w:pPr>
          </w:p>
        </w:tc>
        <w:tc>
          <w:tcPr>
            <w:tcW w:w="616" w:type="pct"/>
            <w:tcBorders>
              <w:top w:val="single" w:color="000000" w:sz="4" w:space="0"/>
              <w:left w:val="single" w:color="000000" w:sz="4" w:space="0"/>
              <w:bottom w:val="nil"/>
              <w:right w:val="single" w:color="000000" w:sz="4" w:space="0"/>
            </w:tcBorders>
            <w:shd w:val="clear" w:color="auto" w:fill="auto"/>
            <w:vAlign w:val="center"/>
          </w:tcPr>
          <w:p w14:paraId="60013400">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水质化验检测数量</w:t>
            </w:r>
          </w:p>
        </w:tc>
        <w:tc>
          <w:tcPr>
            <w:tcW w:w="400" w:type="pct"/>
            <w:tcBorders>
              <w:top w:val="single" w:color="000000" w:sz="4" w:space="0"/>
              <w:left w:val="single" w:color="000000" w:sz="4" w:space="0"/>
              <w:bottom w:val="nil"/>
              <w:right w:val="single" w:color="000000" w:sz="4" w:space="0"/>
            </w:tcBorders>
            <w:shd w:val="clear" w:color="auto" w:fill="auto"/>
            <w:vAlign w:val="center"/>
          </w:tcPr>
          <w:p w14:paraId="2934D18C">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正向</w:t>
            </w:r>
          </w:p>
        </w:tc>
        <w:tc>
          <w:tcPr>
            <w:tcW w:w="486" w:type="pct"/>
            <w:tcBorders>
              <w:top w:val="single" w:color="000000" w:sz="4" w:space="0"/>
              <w:left w:val="single" w:color="000000" w:sz="4" w:space="0"/>
              <w:bottom w:val="nil"/>
              <w:right w:val="single" w:color="000000" w:sz="4" w:space="0"/>
            </w:tcBorders>
            <w:shd w:val="clear" w:color="auto" w:fill="auto"/>
            <w:vAlign w:val="center"/>
          </w:tcPr>
          <w:p w14:paraId="6A57B0C3">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大于等于</w:t>
            </w:r>
          </w:p>
        </w:tc>
        <w:tc>
          <w:tcPr>
            <w:tcW w:w="451" w:type="pct"/>
            <w:tcBorders>
              <w:top w:val="single" w:color="000000" w:sz="4" w:space="0"/>
              <w:left w:val="single" w:color="000000" w:sz="4" w:space="0"/>
              <w:bottom w:val="nil"/>
              <w:right w:val="single" w:color="000000" w:sz="4" w:space="0"/>
            </w:tcBorders>
            <w:shd w:val="clear" w:color="auto" w:fill="auto"/>
            <w:vAlign w:val="center"/>
          </w:tcPr>
          <w:p w14:paraId="41251EED">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560</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48204E20">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706</w:t>
            </w:r>
          </w:p>
        </w:tc>
        <w:tc>
          <w:tcPr>
            <w:tcW w:w="299" w:type="pct"/>
            <w:tcBorders>
              <w:top w:val="single" w:color="000000" w:sz="4" w:space="0"/>
              <w:left w:val="single" w:color="000000" w:sz="4" w:space="0"/>
              <w:bottom w:val="nil"/>
              <w:right w:val="single" w:color="000000" w:sz="4" w:space="0"/>
            </w:tcBorders>
            <w:shd w:val="clear" w:color="auto" w:fill="auto"/>
            <w:vAlign w:val="center"/>
          </w:tcPr>
          <w:p w14:paraId="1A620E46">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组</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3ECA5571">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733CAADC">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662" w:type="pct"/>
            <w:tcBorders>
              <w:top w:val="single" w:color="000000" w:sz="4" w:space="0"/>
              <w:left w:val="single" w:color="000000" w:sz="4" w:space="0"/>
              <w:bottom w:val="nil"/>
              <w:right w:val="single" w:color="000000" w:sz="4" w:space="0"/>
            </w:tcBorders>
            <w:shd w:val="clear" w:color="auto" w:fill="auto"/>
            <w:vAlign w:val="center"/>
          </w:tcPr>
          <w:p w14:paraId="7973BFD1">
            <w:pPr>
              <w:jc w:val="center"/>
              <w:rPr>
                <w:rFonts w:hint="eastAsia" w:ascii="宋体" w:hAnsi="宋体" w:cs="宋体"/>
                <w:color w:val="000000"/>
                <w:sz w:val="15"/>
                <w:szCs w:val="15"/>
              </w:rPr>
            </w:pPr>
          </w:p>
        </w:tc>
      </w:tr>
      <w:tr w14:paraId="15C1E5DA">
        <w:tblPrEx>
          <w:tblCellMar>
            <w:top w:w="0" w:type="dxa"/>
            <w:left w:w="108" w:type="dxa"/>
            <w:bottom w:w="0" w:type="dxa"/>
            <w:right w:w="108" w:type="dxa"/>
          </w:tblCellMar>
        </w:tblPrEx>
        <w:trPr>
          <w:cantSplit/>
          <w:trHeight w:val="90" w:hRule="atLeast"/>
        </w:trPr>
        <w:tc>
          <w:tcPr>
            <w:tcW w:w="278" w:type="pct"/>
            <w:vMerge w:val="continue"/>
            <w:tcBorders>
              <w:top w:val="single" w:color="000000" w:sz="4" w:space="0"/>
              <w:left w:val="single" w:color="000000" w:sz="4" w:space="0"/>
              <w:bottom w:val="nil"/>
              <w:right w:val="single" w:color="000000" w:sz="4" w:space="0"/>
            </w:tcBorders>
            <w:shd w:val="clear" w:color="auto" w:fill="auto"/>
            <w:vAlign w:val="center"/>
          </w:tcPr>
          <w:p w14:paraId="5CE59FA2">
            <w:pPr>
              <w:jc w:val="center"/>
              <w:rPr>
                <w:rFonts w:hint="eastAsia" w:ascii="宋体" w:hAnsi="宋体" w:cs="宋体"/>
                <w:color w:val="000000"/>
                <w:sz w:val="15"/>
                <w:szCs w:val="15"/>
              </w:rPr>
            </w:pPr>
          </w:p>
        </w:tc>
        <w:tc>
          <w:tcPr>
            <w:tcW w:w="286" w:type="pct"/>
            <w:vMerge w:val="continue"/>
            <w:tcBorders>
              <w:top w:val="single" w:color="000000" w:sz="4" w:space="0"/>
              <w:left w:val="single" w:color="000000" w:sz="4" w:space="0"/>
              <w:bottom w:val="nil"/>
              <w:right w:val="single" w:color="000000" w:sz="4" w:space="0"/>
            </w:tcBorders>
            <w:shd w:val="clear" w:color="auto" w:fill="auto"/>
            <w:vAlign w:val="center"/>
          </w:tcPr>
          <w:p w14:paraId="7029F765">
            <w:pPr>
              <w:jc w:val="center"/>
              <w:rPr>
                <w:rFonts w:hint="eastAsia" w:ascii="宋体" w:hAnsi="宋体" w:cs="宋体"/>
                <w:color w:val="000000"/>
                <w:sz w:val="15"/>
                <w:szCs w:val="15"/>
              </w:rPr>
            </w:pPr>
          </w:p>
        </w:tc>
        <w:tc>
          <w:tcPr>
            <w:tcW w:w="412" w:type="pct"/>
            <w:vMerge w:val="restart"/>
            <w:tcBorders>
              <w:top w:val="single" w:color="000000" w:sz="4" w:space="0"/>
              <w:left w:val="single" w:color="000000" w:sz="4" w:space="0"/>
              <w:bottom w:val="nil"/>
              <w:right w:val="single" w:color="000000" w:sz="4" w:space="0"/>
            </w:tcBorders>
            <w:shd w:val="clear" w:color="auto" w:fill="auto"/>
            <w:vAlign w:val="center"/>
          </w:tcPr>
          <w:p w14:paraId="1504CCF6">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质量指标</w:t>
            </w:r>
          </w:p>
        </w:tc>
        <w:tc>
          <w:tcPr>
            <w:tcW w:w="616" w:type="pct"/>
            <w:tcBorders>
              <w:top w:val="single" w:color="000000" w:sz="4" w:space="0"/>
              <w:left w:val="single" w:color="000000" w:sz="4" w:space="0"/>
              <w:bottom w:val="nil"/>
              <w:right w:val="single" w:color="000000" w:sz="4" w:space="0"/>
            </w:tcBorders>
            <w:shd w:val="clear" w:color="auto" w:fill="auto"/>
            <w:vAlign w:val="center"/>
          </w:tcPr>
          <w:p w14:paraId="7437C92A">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锅炉压力容器与特种设备法定检验区域覆盖率</w:t>
            </w:r>
          </w:p>
        </w:tc>
        <w:tc>
          <w:tcPr>
            <w:tcW w:w="400" w:type="pct"/>
            <w:tcBorders>
              <w:top w:val="single" w:color="000000" w:sz="4" w:space="0"/>
              <w:left w:val="single" w:color="000000" w:sz="4" w:space="0"/>
              <w:bottom w:val="nil"/>
              <w:right w:val="single" w:color="000000" w:sz="4" w:space="0"/>
            </w:tcBorders>
            <w:shd w:val="clear" w:color="auto" w:fill="auto"/>
            <w:vAlign w:val="center"/>
          </w:tcPr>
          <w:p w14:paraId="1B2D3B42">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正向</w:t>
            </w:r>
          </w:p>
        </w:tc>
        <w:tc>
          <w:tcPr>
            <w:tcW w:w="486" w:type="pct"/>
            <w:tcBorders>
              <w:top w:val="single" w:color="000000" w:sz="4" w:space="0"/>
              <w:left w:val="single" w:color="000000" w:sz="4" w:space="0"/>
              <w:bottom w:val="nil"/>
              <w:right w:val="single" w:color="000000" w:sz="4" w:space="0"/>
            </w:tcBorders>
            <w:shd w:val="clear" w:color="auto" w:fill="auto"/>
            <w:vAlign w:val="center"/>
          </w:tcPr>
          <w:p w14:paraId="31471524">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等于</w:t>
            </w:r>
          </w:p>
        </w:tc>
        <w:tc>
          <w:tcPr>
            <w:tcW w:w="451" w:type="pct"/>
            <w:tcBorders>
              <w:top w:val="single" w:color="000000" w:sz="4" w:space="0"/>
              <w:left w:val="single" w:color="000000" w:sz="4" w:space="0"/>
              <w:bottom w:val="nil"/>
              <w:right w:val="single" w:color="000000" w:sz="4" w:space="0"/>
            </w:tcBorders>
            <w:shd w:val="clear" w:color="auto" w:fill="auto"/>
            <w:vAlign w:val="center"/>
          </w:tcPr>
          <w:p w14:paraId="0F02C878">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100</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78D15485">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100</w:t>
            </w:r>
          </w:p>
        </w:tc>
        <w:tc>
          <w:tcPr>
            <w:tcW w:w="299" w:type="pct"/>
            <w:tcBorders>
              <w:top w:val="single" w:color="000000" w:sz="4" w:space="0"/>
              <w:left w:val="single" w:color="000000" w:sz="4" w:space="0"/>
              <w:bottom w:val="nil"/>
              <w:right w:val="single" w:color="000000" w:sz="4" w:space="0"/>
            </w:tcBorders>
            <w:shd w:val="clear" w:color="auto" w:fill="auto"/>
            <w:vAlign w:val="center"/>
          </w:tcPr>
          <w:p w14:paraId="11A4639C">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6A8E23B9">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69FD580E">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w:t>
            </w:r>
          </w:p>
        </w:tc>
        <w:tc>
          <w:tcPr>
            <w:tcW w:w="662" w:type="pct"/>
            <w:tcBorders>
              <w:top w:val="single" w:color="000000" w:sz="4" w:space="0"/>
              <w:left w:val="single" w:color="000000" w:sz="4" w:space="0"/>
              <w:bottom w:val="nil"/>
              <w:right w:val="single" w:color="000000" w:sz="4" w:space="0"/>
            </w:tcBorders>
            <w:shd w:val="clear" w:color="auto" w:fill="auto"/>
            <w:vAlign w:val="center"/>
          </w:tcPr>
          <w:p w14:paraId="372807D9">
            <w:pPr>
              <w:jc w:val="center"/>
              <w:rPr>
                <w:rFonts w:hint="eastAsia" w:ascii="宋体" w:hAnsi="宋体" w:cs="宋体"/>
                <w:color w:val="000000"/>
                <w:sz w:val="15"/>
                <w:szCs w:val="15"/>
              </w:rPr>
            </w:pPr>
          </w:p>
        </w:tc>
      </w:tr>
      <w:tr w14:paraId="48851797">
        <w:tblPrEx>
          <w:tblCellMar>
            <w:top w:w="0" w:type="dxa"/>
            <w:left w:w="108" w:type="dxa"/>
            <w:bottom w:w="0" w:type="dxa"/>
            <w:right w:w="108" w:type="dxa"/>
          </w:tblCellMar>
        </w:tblPrEx>
        <w:trPr>
          <w:cantSplit/>
          <w:trHeight w:val="90" w:hRule="atLeast"/>
        </w:trPr>
        <w:tc>
          <w:tcPr>
            <w:tcW w:w="278" w:type="pct"/>
            <w:vMerge w:val="continue"/>
            <w:tcBorders>
              <w:top w:val="single" w:color="000000" w:sz="4" w:space="0"/>
              <w:left w:val="single" w:color="000000" w:sz="4" w:space="0"/>
              <w:bottom w:val="nil"/>
              <w:right w:val="single" w:color="000000" w:sz="4" w:space="0"/>
            </w:tcBorders>
            <w:shd w:val="clear" w:color="auto" w:fill="auto"/>
            <w:vAlign w:val="center"/>
          </w:tcPr>
          <w:p w14:paraId="4A9BA3C0">
            <w:pPr>
              <w:jc w:val="center"/>
              <w:rPr>
                <w:rFonts w:hint="eastAsia" w:ascii="宋体" w:hAnsi="宋体" w:cs="宋体"/>
                <w:color w:val="000000"/>
                <w:sz w:val="15"/>
                <w:szCs w:val="15"/>
              </w:rPr>
            </w:pPr>
          </w:p>
        </w:tc>
        <w:tc>
          <w:tcPr>
            <w:tcW w:w="286" w:type="pct"/>
            <w:vMerge w:val="continue"/>
            <w:tcBorders>
              <w:top w:val="single" w:color="000000" w:sz="4" w:space="0"/>
              <w:left w:val="single" w:color="000000" w:sz="4" w:space="0"/>
              <w:bottom w:val="nil"/>
              <w:right w:val="single" w:color="000000" w:sz="4" w:space="0"/>
            </w:tcBorders>
            <w:shd w:val="clear" w:color="auto" w:fill="auto"/>
            <w:vAlign w:val="center"/>
          </w:tcPr>
          <w:p w14:paraId="4FE5E87F">
            <w:pPr>
              <w:jc w:val="center"/>
              <w:rPr>
                <w:rFonts w:hint="eastAsia" w:ascii="宋体" w:hAnsi="宋体" w:cs="宋体"/>
                <w:color w:val="000000"/>
                <w:sz w:val="15"/>
                <w:szCs w:val="15"/>
              </w:rPr>
            </w:pPr>
          </w:p>
        </w:tc>
        <w:tc>
          <w:tcPr>
            <w:tcW w:w="412" w:type="pct"/>
            <w:vMerge w:val="continue"/>
            <w:tcBorders>
              <w:top w:val="single" w:color="000000" w:sz="4" w:space="0"/>
              <w:left w:val="single" w:color="000000" w:sz="4" w:space="0"/>
              <w:bottom w:val="nil"/>
              <w:right w:val="single" w:color="000000" w:sz="4" w:space="0"/>
            </w:tcBorders>
            <w:shd w:val="clear" w:color="auto" w:fill="auto"/>
            <w:vAlign w:val="center"/>
          </w:tcPr>
          <w:p w14:paraId="4215319E">
            <w:pPr>
              <w:jc w:val="center"/>
              <w:rPr>
                <w:rFonts w:hint="eastAsia" w:ascii="宋体" w:hAnsi="宋体" w:cs="宋体"/>
                <w:color w:val="000000"/>
                <w:sz w:val="15"/>
                <w:szCs w:val="15"/>
              </w:rPr>
            </w:pPr>
          </w:p>
        </w:tc>
        <w:tc>
          <w:tcPr>
            <w:tcW w:w="616" w:type="pct"/>
            <w:tcBorders>
              <w:top w:val="single" w:color="000000" w:sz="4" w:space="0"/>
              <w:left w:val="single" w:color="000000" w:sz="4" w:space="0"/>
              <w:bottom w:val="nil"/>
              <w:right w:val="single" w:color="000000" w:sz="4" w:space="0"/>
            </w:tcBorders>
            <w:shd w:val="clear" w:color="auto" w:fill="auto"/>
            <w:vAlign w:val="center"/>
          </w:tcPr>
          <w:p w14:paraId="421D604D">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法定检测报告出具率</w:t>
            </w:r>
          </w:p>
        </w:tc>
        <w:tc>
          <w:tcPr>
            <w:tcW w:w="400" w:type="pct"/>
            <w:tcBorders>
              <w:top w:val="single" w:color="000000" w:sz="4" w:space="0"/>
              <w:left w:val="single" w:color="000000" w:sz="4" w:space="0"/>
              <w:bottom w:val="nil"/>
              <w:right w:val="single" w:color="000000" w:sz="4" w:space="0"/>
            </w:tcBorders>
            <w:shd w:val="clear" w:color="auto" w:fill="auto"/>
            <w:vAlign w:val="center"/>
          </w:tcPr>
          <w:p w14:paraId="7C044502">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正向</w:t>
            </w:r>
          </w:p>
        </w:tc>
        <w:tc>
          <w:tcPr>
            <w:tcW w:w="486" w:type="pct"/>
            <w:tcBorders>
              <w:top w:val="single" w:color="000000" w:sz="4" w:space="0"/>
              <w:left w:val="single" w:color="000000" w:sz="4" w:space="0"/>
              <w:bottom w:val="nil"/>
              <w:right w:val="single" w:color="000000" w:sz="4" w:space="0"/>
            </w:tcBorders>
            <w:shd w:val="clear" w:color="auto" w:fill="auto"/>
            <w:vAlign w:val="center"/>
          </w:tcPr>
          <w:p w14:paraId="4AD8522A">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等于</w:t>
            </w:r>
          </w:p>
        </w:tc>
        <w:tc>
          <w:tcPr>
            <w:tcW w:w="451" w:type="pct"/>
            <w:tcBorders>
              <w:top w:val="single" w:color="000000" w:sz="4" w:space="0"/>
              <w:left w:val="single" w:color="000000" w:sz="4" w:space="0"/>
              <w:bottom w:val="nil"/>
              <w:right w:val="single" w:color="000000" w:sz="4" w:space="0"/>
            </w:tcBorders>
            <w:shd w:val="clear" w:color="auto" w:fill="auto"/>
            <w:vAlign w:val="center"/>
          </w:tcPr>
          <w:p w14:paraId="67D4F996">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100</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7077D1A5">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100</w:t>
            </w:r>
          </w:p>
        </w:tc>
        <w:tc>
          <w:tcPr>
            <w:tcW w:w="299" w:type="pct"/>
            <w:tcBorders>
              <w:top w:val="single" w:color="000000" w:sz="4" w:space="0"/>
              <w:left w:val="single" w:color="000000" w:sz="4" w:space="0"/>
              <w:bottom w:val="nil"/>
              <w:right w:val="single" w:color="000000" w:sz="4" w:space="0"/>
            </w:tcBorders>
            <w:shd w:val="clear" w:color="auto" w:fill="auto"/>
            <w:vAlign w:val="center"/>
          </w:tcPr>
          <w:p w14:paraId="3FB2A532">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43784B8D">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78F738A3">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w:t>
            </w:r>
          </w:p>
        </w:tc>
        <w:tc>
          <w:tcPr>
            <w:tcW w:w="662" w:type="pct"/>
            <w:tcBorders>
              <w:top w:val="single" w:color="000000" w:sz="4" w:space="0"/>
              <w:left w:val="single" w:color="000000" w:sz="4" w:space="0"/>
              <w:bottom w:val="nil"/>
              <w:right w:val="single" w:color="000000" w:sz="4" w:space="0"/>
            </w:tcBorders>
            <w:shd w:val="clear" w:color="auto" w:fill="auto"/>
            <w:vAlign w:val="center"/>
          </w:tcPr>
          <w:p w14:paraId="3F44ABF1">
            <w:pPr>
              <w:jc w:val="center"/>
              <w:rPr>
                <w:rFonts w:hint="eastAsia" w:ascii="宋体" w:hAnsi="宋体" w:cs="宋体"/>
                <w:color w:val="000000"/>
                <w:sz w:val="15"/>
                <w:szCs w:val="15"/>
              </w:rPr>
            </w:pPr>
          </w:p>
        </w:tc>
      </w:tr>
      <w:tr w14:paraId="5115E843">
        <w:tblPrEx>
          <w:tblCellMar>
            <w:top w:w="0" w:type="dxa"/>
            <w:left w:w="108" w:type="dxa"/>
            <w:bottom w:w="0" w:type="dxa"/>
            <w:right w:w="108" w:type="dxa"/>
          </w:tblCellMar>
        </w:tblPrEx>
        <w:trPr>
          <w:cantSplit/>
          <w:trHeight w:val="90" w:hRule="atLeast"/>
        </w:trPr>
        <w:tc>
          <w:tcPr>
            <w:tcW w:w="278" w:type="pct"/>
            <w:vMerge w:val="continue"/>
            <w:tcBorders>
              <w:top w:val="single" w:color="000000" w:sz="4" w:space="0"/>
              <w:left w:val="single" w:color="000000" w:sz="4" w:space="0"/>
              <w:bottom w:val="nil"/>
              <w:right w:val="single" w:color="000000" w:sz="4" w:space="0"/>
            </w:tcBorders>
            <w:shd w:val="clear" w:color="auto" w:fill="auto"/>
            <w:vAlign w:val="center"/>
          </w:tcPr>
          <w:p w14:paraId="34E6C9EF">
            <w:pPr>
              <w:jc w:val="center"/>
              <w:rPr>
                <w:rFonts w:hint="eastAsia" w:ascii="宋体" w:hAnsi="宋体" w:cs="宋体"/>
                <w:color w:val="000000"/>
                <w:sz w:val="15"/>
                <w:szCs w:val="15"/>
              </w:rPr>
            </w:pPr>
          </w:p>
        </w:tc>
        <w:tc>
          <w:tcPr>
            <w:tcW w:w="286" w:type="pct"/>
            <w:vMerge w:val="continue"/>
            <w:tcBorders>
              <w:top w:val="single" w:color="000000" w:sz="4" w:space="0"/>
              <w:left w:val="single" w:color="000000" w:sz="4" w:space="0"/>
              <w:bottom w:val="nil"/>
              <w:right w:val="single" w:color="000000" w:sz="4" w:space="0"/>
            </w:tcBorders>
            <w:shd w:val="clear" w:color="auto" w:fill="auto"/>
            <w:vAlign w:val="center"/>
          </w:tcPr>
          <w:p w14:paraId="14DD93A5">
            <w:pPr>
              <w:jc w:val="center"/>
              <w:rPr>
                <w:rFonts w:hint="eastAsia" w:ascii="宋体" w:hAnsi="宋体" w:cs="宋体"/>
                <w:color w:val="000000"/>
                <w:sz w:val="15"/>
                <w:szCs w:val="15"/>
              </w:rPr>
            </w:pPr>
          </w:p>
        </w:tc>
        <w:tc>
          <w:tcPr>
            <w:tcW w:w="412" w:type="pct"/>
            <w:vMerge w:val="continue"/>
            <w:tcBorders>
              <w:top w:val="single" w:color="000000" w:sz="4" w:space="0"/>
              <w:left w:val="single" w:color="000000" w:sz="4" w:space="0"/>
              <w:bottom w:val="nil"/>
              <w:right w:val="single" w:color="000000" w:sz="4" w:space="0"/>
            </w:tcBorders>
            <w:shd w:val="clear" w:color="auto" w:fill="auto"/>
            <w:vAlign w:val="center"/>
          </w:tcPr>
          <w:p w14:paraId="1375CECD">
            <w:pPr>
              <w:jc w:val="center"/>
              <w:rPr>
                <w:rFonts w:hint="eastAsia" w:ascii="宋体" w:hAnsi="宋体" w:cs="宋体"/>
                <w:color w:val="000000"/>
                <w:sz w:val="15"/>
                <w:szCs w:val="15"/>
              </w:rPr>
            </w:pPr>
          </w:p>
        </w:tc>
        <w:tc>
          <w:tcPr>
            <w:tcW w:w="616" w:type="pct"/>
            <w:tcBorders>
              <w:top w:val="single" w:color="000000" w:sz="4" w:space="0"/>
              <w:left w:val="single" w:color="000000" w:sz="4" w:space="0"/>
              <w:bottom w:val="nil"/>
              <w:right w:val="single" w:color="000000" w:sz="4" w:space="0"/>
            </w:tcBorders>
            <w:shd w:val="clear" w:color="auto" w:fill="auto"/>
            <w:vAlign w:val="center"/>
          </w:tcPr>
          <w:p w14:paraId="298B483E">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法定检测报告合格率</w:t>
            </w:r>
          </w:p>
        </w:tc>
        <w:tc>
          <w:tcPr>
            <w:tcW w:w="400" w:type="pct"/>
            <w:tcBorders>
              <w:top w:val="single" w:color="000000" w:sz="4" w:space="0"/>
              <w:left w:val="single" w:color="000000" w:sz="4" w:space="0"/>
              <w:bottom w:val="nil"/>
              <w:right w:val="single" w:color="000000" w:sz="4" w:space="0"/>
            </w:tcBorders>
            <w:shd w:val="clear" w:color="auto" w:fill="auto"/>
            <w:vAlign w:val="center"/>
          </w:tcPr>
          <w:p w14:paraId="5F5F4E16">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正向</w:t>
            </w:r>
          </w:p>
        </w:tc>
        <w:tc>
          <w:tcPr>
            <w:tcW w:w="486" w:type="pct"/>
            <w:tcBorders>
              <w:top w:val="single" w:color="000000" w:sz="4" w:space="0"/>
              <w:left w:val="single" w:color="000000" w:sz="4" w:space="0"/>
              <w:bottom w:val="nil"/>
              <w:right w:val="single" w:color="000000" w:sz="4" w:space="0"/>
            </w:tcBorders>
            <w:shd w:val="clear" w:color="auto" w:fill="auto"/>
            <w:vAlign w:val="center"/>
          </w:tcPr>
          <w:p w14:paraId="66437A7B">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大于等于</w:t>
            </w:r>
          </w:p>
        </w:tc>
        <w:tc>
          <w:tcPr>
            <w:tcW w:w="451" w:type="pct"/>
            <w:tcBorders>
              <w:top w:val="single" w:color="000000" w:sz="4" w:space="0"/>
              <w:left w:val="single" w:color="000000" w:sz="4" w:space="0"/>
              <w:bottom w:val="nil"/>
              <w:right w:val="single" w:color="000000" w:sz="4" w:space="0"/>
            </w:tcBorders>
            <w:shd w:val="clear" w:color="auto" w:fill="auto"/>
            <w:vAlign w:val="center"/>
          </w:tcPr>
          <w:p w14:paraId="45BEAE61">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98</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3F349615">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98</w:t>
            </w:r>
          </w:p>
        </w:tc>
        <w:tc>
          <w:tcPr>
            <w:tcW w:w="299" w:type="pct"/>
            <w:tcBorders>
              <w:top w:val="single" w:color="000000" w:sz="4" w:space="0"/>
              <w:left w:val="single" w:color="000000" w:sz="4" w:space="0"/>
              <w:bottom w:val="nil"/>
              <w:right w:val="single" w:color="000000" w:sz="4" w:space="0"/>
            </w:tcBorders>
            <w:shd w:val="clear" w:color="auto" w:fill="auto"/>
            <w:vAlign w:val="center"/>
          </w:tcPr>
          <w:p w14:paraId="5F6E6B1C">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2A0FF5F4">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415B50E1">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w:t>
            </w:r>
          </w:p>
        </w:tc>
        <w:tc>
          <w:tcPr>
            <w:tcW w:w="662" w:type="pct"/>
            <w:tcBorders>
              <w:top w:val="single" w:color="000000" w:sz="4" w:space="0"/>
              <w:left w:val="single" w:color="000000" w:sz="4" w:space="0"/>
              <w:bottom w:val="nil"/>
              <w:right w:val="single" w:color="000000" w:sz="4" w:space="0"/>
            </w:tcBorders>
            <w:shd w:val="clear" w:color="auto" w:fill="auto"/>
            <w:vAlign w:val="center"/>
          </w:tcPr>
          <w:p w14:paraId="673AAD44">
            <w:pPr>
              <w:jc w:val="center"/>
              <w:rPr>
                <w:rFonts w:hint="eastAsia" w:ascii="宋体" w:hAnsi="宋体" w:cs="宋体"/>
                <w:color w:val="000000"/>
                <w:sz w:val="15"/>
                <w:szCs w:val="15"/>
              </w:rPr>
            </w:pPr>
          </w:p>
        </w:tc>
      </w:tr>
      <w:tr w14:paraId="1A21B9A5">
        <w:tblPrEx>
          <w:tblCellMar>
            <w:top w:w="0" w:type="dxa"/>
            <w:left w:w="108" w:type="dxa"/>
            <w:bottom w:w="0" w:type="dxa"/>
            <w:right w:w="108" w:type="dxa"/>
          </w:tblCellMar>
        </w:tblPrEx>
        <w:trPr>
          <w:cantSplit/>
          <w:trHeight w:val="90" w:hRule="atLeast"/>
        </w:trPr>
        <w:tc>
          <w:tcPr>
            <w:tcW w:w="278" w:type="pct"/>
            <w:vMerge w:val="continue"/>
            <w:tcBorders>
              <w:top w:val="single" w:color="000000" w:sz="4" w:space="0"/>
              <w:left w:val="single" w:color="000000" w:sz="4" w:space="0"/>
              <w:bottom w:val="nil"/>
              <w:right w:val="single" w:color="000000" w:sz="4" w:space="0"/>
            </w:tcBorders>
            <w:shd w:val="clear" w:color="auto" w:fill="auto"/>
            <w:vAlign w:val="center"/>
          </w:tcPr>
          <w:p w14:paraId="507C3505">
            <w:pPr>
              <w:jc w:val="center"/>
              <w:rPr>
                <w:rFonts w:hint="eastAsia" w:ascii="宋体" w:hAnsi="宋体" w:cs="宋体"/>
                <w:color w:val="000000"/>
                <w:sz w:val="15"/>
                <w:szCs w:val="15"/>
              </w:rPr>
            </w:pPr>
          </w:p>
        </w:tc>
        <w:tc>
          <w:tcPr>
            <w:tcW w:w="286" w:type="pct"/>
            <w:vMerge w:val="continue"/>
            <w:tcBorders>
              <w:top w:val="single" w:color="000000" w:sz="4" w:space="0"/>
              <w:left w:val="single" w:color="000000" w:sz="4" w:space="0"/>
              <w:bottom w:val="nil"/>
              <w:right w:val="single" w:color="000000" w:sz="4" w:space="0"/>
            </w:tcBorders>
            <w:shd w:val="clear" w:color="auto" w:fill="auto"/>
            <w:vAlign w:val="center"/>
          </w:tcPr>
          <w:p w14:paraId="480AE31F">
            <w:pPr>
              <w:jc w:val="center"/>
              <w:rPr>
                <w:rFonts w:hint="eastAsia" w:ascii="宋体" w:hAnsi="宋体" w:cs="宋体"/>
                <w:color w:val="000000"/>
                <w:sz w:val="15"/>
                <w:szCs w:val="15"/>
              </w:rPr>
            </w:pPr>
          </w:p>
        </w:tc>
        <w:tc>
          <w:tcPr>
            <w:tcW w:w="412" w:type="pct"/>
            <w:vMerge w:val="continue"/>
            <w:tcBorders>
              <w:top w:val="single" w:color="000000" w:sz="4" w:space="0"/>
              <w:left w:val="single" w:color="000000" w:sz="4" w:space="0"/>
              <w:bottom w:val="nil"/>
              <w:right w:val="single" w:color="000000" w:sz="4" w:space="0"/>
            </w:tcBorders>
            <w:shd w:val="clear" w:color="auto" w:fill="auto"/>
            <w:vAlign w:val="center"/>
          </w:tcPr>
          <w:p w14:paraId="64B80216">
            <w:pPr>
              <w:jc w:val="center"/>
              <w:rPr>
                <w:rFonts w:hint="eastAsia" w:ascii="宋体" w:hAnsi="宋体" w:cs="宋体"/>
                <w:color w:val="000000"/>
                <w:sz w:val="15"/>
                <w:szCs w:val="15"/>
              </w:rPr>
            </w:pPr>
          </w:p>
        </w:tc>
        <w:tc>
          <w:tcPr>
            <w:tcW w:w="616" w:type="pct"/>
            <w:tcBorders>
              <w:top w:val="single" w:color="000000" w:sz="4" w:space="0"/>
              <w:left w:val="single" w:color="000000" w:sz="4" w:space="0"/>
              <w:bottom w:val="nil"/>
              <w:right w:val="single" w:color="000000" w:sz="4" w:space="0"/>
            </w:tcBorders>
            <w:shd w:val="clear" w:color="auto" w:fill="auto"/>
            <w:vAlign w:val="center"/>
          </w:tcPr>
          <w:p w14:paraId="0235006E">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采购业务验收合格率</w:t>
            </w:r>
          </w:p>
        </w:tc>
        <w:tc>
          <w:tcPr>
            <w:tcW w:w="400" w:type="pct"/>
            <w:tcBorders>
              <w:top w:val="single" w:color="000000" w:sz="4" w:space="0"/>
              <w:left w:val="single" w:color="000000" w:sz="4" w:space="0"/>
              <w:bottom w:val="nil"/>
              <w:right w:val="single" w:color="000000" w:sz="4" w:space="0"/>
            </w:tcBorders>
            <w:shd w:val="clear" w:color="auto" w:fill="auto"/>
            <w:vAlign w:val="center"/>
          </w:tcPr>
          <w:p w14:paraId="465E27CB">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正向</w:t>
            </w:r>
          </w:p>
        </w:tc>
        <w:tc>
          <w:tcPr>
            <w:tcW w:w="486" w:type="pct"/>
            <w:tcBorders>
              <w:top w:val="single" w:color="000000" w:sz="4" w:space="0"/>
              <w:left w:val="single" w:color="000000" w:sz="4" w:space="0"/>
              <w:bottom w:val="nil"/>
              <w:right w:val="single" w:color="000000" w:sz="4" w:space="0"/>
            </w:tcBorders>
            <w:shd w:val="clear" w:color="auto" w:fill="auto"/>
            <w:vAlign w:val="center"/>
          </w:tcPr>
          <w:p w14:paraId="25297A8E">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等于</w:t>
            </w:r>
          </w:p>
        </w:tc>
        <w:tc>
          <w:tcPr>
            <w:tcW w:w="451" w:type="pct"/>
            <w:tcBorders>
              <w:top w:val="single" w:color="000000" w:sz="4" w:space="0"/>
              <w:left w:val="single" w:color="000000" w:sz="4" w:space="0"/>
              <w:bottom w:val="nil"/>
              <w:right w:val="single" w:color="000000" w:sz="4" w:space="0"/>
            </w:tcBorders>
            <w:shd w:val="clear" w:color="auto" w:fill="auto"/>
            <w:vAlign w:val="center"/>
          </w:tcPr>
          <w:p w14:paraId="434F61F7">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100</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576E2C67">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100</w:t>
            </w:r>
          </w:p>
        </w:tc>
        <w:tc>
          <w:tcPr>
            <w:tcW w:w="299" w:type="pct"/>
            <w:tcBorders>
              <w:top w:val="single" w:color="000000" w:sz="4" w:space="0"/>
              <w:left w:val="single" w:color="000000" w:sz="4" w:space="0"/>
              <w:bottom w:val="nil"/>
              <w:right w:val="single" w:color="000000" w:sz="4" w:space="0"/>
            </w:tcBorders>
            <w:shd w:val="clear" w:color="auto" w:fill="auto"/>
            <w:vAlign w:val="center"/>
          </w:tcPr>
          <w:p w14:paraId="38AA45EF">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7749A57B">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5F5E60B5">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w:t>
            </w:r>
          </w:p>
        </w:tc>
        <w:tc>
          <w:tcPr>
            <w:tcW w:w="662" w:type="pct"/>
            <w:tcBorders>
              <w:top w:val="single" w:color="000000" w:sz="4" w:space="0"/>
              <w:left w:val="single" w:color="000000" w:sz="4" w:space="0"/>
              <w:bottom w:val="nil"/>
              <w:right w:val="single" w:color="000000" w:sz="4" w:space="0"/>
            </w:tcBorders>
            <w:shd w:val="clear" w:color="auto" w:fill="auto"/>
            <w:vAlign w:val="center"/>
          </w:tcPr>
          <w:p w14:paraId="42B0F7DD">
            <w:pPr>
              <w:jc w:val="center"/>
              <w:rPr>
                <w:rFonts w:hint="eastAsia" w:ascii="宋体" w:hAnsi="宋体" w:cs="宋体"/>
                <w:color w:val="000000"/>
                <w:sz w:val="15"/>
                <w:szCs w:val="15"/>
              </w:rPr>
            </w:pPr>
          </w:p>
        </w:tc>
      </w:tr>
      <w:tr w14:paraId="104C2ED8">
        <w:tblPrEx>
          <w:tblCellMar>
            <w:top w:w="0" w:type="dxa"/>
            <w:left w:w="108" w:type="dxa"/>
            <w:bottom w:w="0" w:type="dxa"/>
            <w:right w:w="108" w:type="dxa"/>
          </w:tblCellMar>
        </w:tblPrEx>
        <w:trPr>
          <w:cantSplit/>
          <w:trHeight w:val="90" w:hRule="atLeast"/>
        </w:trPr>
        <w:tc>
          <w:tcPr>
            <w:tcW w:w="278" w:type="pct"/>
            <w:vMerge w:val="continue"/>
            <w:tcBorders>
              <w:top w:val="single" w:color="000000" w:sz="4" w:space="0"/>
              <w:left w:val="single" w:color="000000" w:sz="4" w:space="0"/>
              <w:bottom w:val="nil"/>
              <w:right w:val="single" w:color="000000" w:sz="4" w:space="0"/>
            </w:tcBorders>
            <w:shd w:val="clear" w:color="auto" w:fill="auto"/>
            <w:vAlign w:val="center"/>
          </w:tcPr>
          <w:p w14:paraId="1ADBB90C">
            <w:pPr>
              <w:jc w:val="center"/>
              <w:rPr>
                <w:rFonts w:hint="eastAsia" w:ascii="宋体" w:hAnsi="宋体" w:cs="宋体"/>
                <w:color w:val="000000"/>
                <w:sz w:val="15"/>
                <w:szCs w:val="15"/>
              </w:rPr>
            </w:pPr>
          </w:p>
        </w:tc>
        <w:tc>
          <w:tcPr>
            <w:tcW w:w="286" w:type="pct"/>
            <w:vMerge w:val="continue"/>
            <w:tcBorders>
              <w:top w:val="single" w:color="000000" w:sz="4" w:space="0"/>
              <w:left w:val="single" w:color="000000" w:sz="4" w:space="0"/>
              <w:bottom w:val="nil"/>
              <w:right w:val="single" w:color="000000" w:sz="4" w:space="0"/>
            </w:tcBorders>
            <w:shd w:val="clear" w:color="auto" w:fill="auto"/>
            <w:vAlign w:val="center"/>
          </w:tcPr>
          <w:p w14:paraId="7A56CD7C">
            <w:pPr>
              <w:jc w:val="center"/>
              <w:rPr>
                <w:rFonts w:hint="eastAsia" w:ascii="宋体" w:hAnsi="宋体" w:cs="宋体"/>
                <w:color w:val="000000"/>
                <w:sz w:val="15"/>
                <w:szCs w:val="15"/>
              </w:rPr>
            </w:pPr>
          </w:p>
        </w:tc>
        <w:tc>
          <w:tcPr>
            <w:tcW w:w="412" w:type="pct"/>
            <w:vMerge w:val="continue"/>
            <w:tcBorders>
              <w:top w:val="single" w:color="000000" w:sz="4" w:space="0"/>
              <w:left w:val="single" w:color="000000" w:sz="4" w:space="0"/>
              <w:bottom w:val="nil"/>
              <w:right w:val="single" w:color="000000" w:sz="4" w:space="0"/>
            </w:tcBorders>
            <w:shd w:val="clear" w:color="auto" w:fill="auto"/>
            <w:vAlign w:val="center"/>
          </w:tcPr>
          <w:p w14:paraId="6F15FCDD">
            <w:pPr>
              <w:jc w:val="center"/>
              <w:rPr>
                <w:rFonts w:hint="eastAsia" w:ascii="宋体" w:hAnsi="宋体" w:cs="宋体"/>
                <w:color w:val="000000"/>
                <w:sz w:val="15"/>
                <w:szCs w:val="15"/>
              </w:rPr>
            </w:pPr>
          </w:p>
        </w:tc>
        <w:tc>
          <w:tcPr>
            <w:tcW w:w="616" w:type="pct"/>
            <w:tcBorders>
              <w:top w:val="single" w:color="000000" w:sz="4" w:space="0"/>
              <w:left w:val="single" w:color="000000" w:sz="4" w:space="0"/>
              <w:bottom w:val="nil"/>
              <w:right w:val="single" w:color="000000" w:sz="4" w:space="0"/>
            </w:tcBorders>
            <w:shd w:val="clear" w:color="auto" w:fill="auto"/>
            <w:vAlign w:val="center"/>
          </w:tcPr>
          <w:p w14:paraId="39929D00">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专业人员考试合格率</w:t>
            </w:r>
          </w:p>
        </w:tc>
        <w:tc>
          <w:tcPr>
            <w:tcW w:w="400" w:type="pct"/>
            <w:tcBorders>
              <w:top w:val="single" w:color="000000" w:sz="4" w:space="0"/>
              <w:left w:val="single" w:color="000000" w:sz="4" w:space="0"/>
              <w:bottom w:val="nil"/>
              <w:right w:val="single" w:color="000000" w:sz="4" w:space="0"/>
            </w:tcBorders>
            <w:shd w:val="clear" w:color="auto" w:fill="auto"/>
            <w:vAlign w:val="center"/>
          </w:tcPr>
          <w:p w14:paraId="489DE66F">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正向</w:t>
            </w:r>
          </w:p>
        </w:tc>
        <w:tc>
          <w:tcPr>
            <w:tcW w:w="486" w:type="pct"/>
            <w:tcBorders>
              <w:top w:val="single" w:color="000000" w:sz="4" w:space="0"/>
              <w:left w:val="single" w:color="000000" w:sz="4" w:space="0"/>
              <w:bottom w:val="nil"/>
              <w:right w:val="single" w:color="000000" w:sz="4" w:space="0"/>
            </w:tcBorders>
            <w:shd w:val="clear" w:color="auto" w:fill="auto"/>
            <w:vAlign w:val="center"/>
          </w:tcPr>
          <w:p w14:paraId="6C9E1D91">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等于</w:t>
            </w:r>
          </w:p>
        </w:tc>
        <w:tc>
          <w:tcPr>
            <w:tcW w:w="451" w:type="pct"/>
            <w:tcBorders>
              <w:top w:val="single" w:color="000000" w:sz="4" w:space="0"/>
              <w:left w:val="single" w:color="000000" w:sz="4" w:space="0"/>
              <w:bottom w:val="nil"/>
              <w:right w:val="single" w:color="000000" w:sz="4" w:space="0"/>
            </w:tcBorders>
            <w:shd w:val="clear" w:color="auto" w:fill="auto"/>
            <w:vAlign w:val="center"/>
          </w:tcPr>
          <w:p w14:paraId="08E13D70">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100</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43FEAB9B">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100</w:t>
            </w:r>
          </w:p>
        </w:tc>
        <w:tc>
          <w:tcPr>
            <w:tcW w:w="299" w:type="pct"/>
            <w:tcBorders>
              <w:top w:val="single" w:color="000000" w:sz="4" w:space="0"/>
              <w:left w:val="single" w:color="000000" w:sz="4" w:space="0"/>
              <w:bottom w:val="nil"/>
              <w:right w:val="single" w:color="000000" w:sz="4" w:space="0"/>
            </w:tcBorders>
            <w:shd w:val="clear" w:color="auto" w:fill="auto"/>
            <w:vAlign w:val="center"/>
          </w:tcPr>
          <w:p w14:paraId="1C0A42CF">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50B1CF72">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507036DC">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w:t>
            </w:r>
          </w:p>
        </w:tc>
        <w:tc>
          <w:tcPr>
            <w:tcW w:w="662" w:type="pct"/>
            <w:tcBorders>
              <w:top w:val="single" w:color="000000" w:sz="4" w:space="0"/>
              <w:left w:val="single" w:color="000000" w:sz="4" w:space="0"/>
              <w:bottom w:val="nil"/>
              <w:right w:val="single" w:color="000000" w:sz="4" w:space="0"/>
            </w:tcBorders>
            <w:shd w:val="clear" w:color="auto" w:fill="auto"/>
            <w:vAlign w:val="center"/>
          </w:tcPr>
          <w:p w14:paraId="7BF565B8">
            <w:pPr>
              <w:jc w:val="center"/>
              <w:rPr>
                <w:rFonts w:hint="eastAsia" w:ascii="宋体" w:hAnsi="宋体" w:cs="宋体"/>
                <w:color w:val="000000"/>
                <w:sz w:val="15"/>
                <w:szCs w:val="15"/>
              </w:rPr>
            </w:pPr>
          </w:p>
        </w:tc>
      </w:tr>
      <w:tr w14:paraId="09E38098">
        <w:tblPrEx>
          <w:tblCellMar>
            <w:top w:w="0" w:type="dxa"/>
            <w:left w:w="108" w:type="dxa"/>
            <w:bottom w:w="0" w:type="dxa"/>
            <w:right w:w="108" w:type="dxa"/>
          </w:tblCellMar>
        </w:tblPrEx>
        <w:trPr>
          <w:cantSplit/>
          <w:trHeight w:val="90" w:hRule="atLeast"/>
        </w:trPr>
        <w:tc>
          <w:tcPr>
            <w:tcW w:w="278" w:type="pct"/>
            <w:vMerge w:val="continue"/>
            <w:tcBorders>
              <w:top w:val="single" w:color="000000" w:sz="4" w:space="0"/>
              <w:left w:val="single" w:color="000000" w:sz="4" w:space="0"/>
              <w:bottom w:val="nil"/>
              <w:right w:val="single" w:color="000000" w:sz="4" w:space="0"/>
            </w:tcBorders>
            <w:shd w:val="clear" w:color="auto" w:fill="auto"/>
            <w:vAlign w:val="center"/>
          </w:tcPr>
          <w:p w14:paraId="55ADD6A1">
            <w:pPr>
              <w:jc w:val="center"/>
              <w:rPr>
                <w:rFonts w:hint="eastAsia" w:ascii="宋体" w:hAnsi="宋体" w:cs="宋体"/>
                <w:color w:val="000000"/>
                <w:sz w:val="15"/>
                <w:szCs w:val="15"/>
              </w:rPr>
            </w:pPr>
          </w:p>
        </w:tc>
        <w:tc>
          <w:tcPr>
            <w:tcW w:w="286" w:type="pct"/>
            <w:vMerge w:val="continue"/>
            <w:tcBorders>
              <w:top w:val="single" w:color="000000" w:sz="4" w:space="0"/>
              <w:left w:val="single" w:color="000000" w:sz="4" w:space="0"/>
              <w:bottom w:val="nil"/>
              <w:right w:val="single" w:color="000000" w:sz="4" w:space="0"/>
            </w:tcBorders>
            <w:shd w:val="clear" w:color="auto" w:fill="auto"/>
            <w:vAlign w:val="center"/>
          </w:tcPr>
          <w:p w14:paraId="090FC73E">
            <w:pPr>
              <w:jc w:val="center"/>
              <w:rPr>
                <w:rFonts w:hint="eastAsia" w:ascii="宋体" w:hAnsi="宋体" w:cs="宋体"/>
                <w:color w:val="000000"/>
                <w:sz w:val="15"/>
                <w:szCs w:val="15"/>
              </w:rPr>
            </w:pPr>
          </w:p>
        </w:tc>
        <w:tc>
          <w:tcPr>
            <w:tcW w:w="412" w:type="pct"/>
            <w:vMerge w:val="restart"/>
            <w:tcBorders>
              <w:top w:val="single" w:color="000000" w:sz="4" w:space="0"/>
              <w:left w:val="single" w:color="000000" w:sz="4" w:space="0"/>
              <w:bottom w:val="nil"/>
              <w:right w:val="single" w:color="000000" w:sz="4" w:space="0"/>
            </w:tcBorders>
            <w:shd w:val="clear" w:color="auto" w:fill="auto"/>
            <w:vAlign w:val="center"/>
          </w:tcPr>
          <w:p w14:paraId="3D5B4674">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时效指标</w:t>
            </w:r>
          </w:p>
        </w:tc>
        <w:tc>
          <w:tcPr>
            <w:tcW w:w="616" w:type="pct"/>
            <w:tcBorders>
              <w:top w:val="single" w:color="000000" w:sz="4" w:space="0"/>
              <w:left w:val="single" w:color="000000" w:sz="4" w:space="0"/>
              <w:bottom w:val="nil"/>
              <w:right w:val="single" w:color="000000" w:sz="4" w:space="0"/>
            </w:tcBorders>
            <w:shd w:val="clear" w:color="auto" w:fill="auto"/>
            <w:vAlign w:val="center"/>
          </w:tcPr>
          <w:p w14:paraId="71AA9B11">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锅炉压力容器与特种设备安全监管任务完成时间</w:t>
            </w:r>
          </w:p>
        </w:tc>
        <w:tc>
          <w:tcPr>
            <w:tcW w:w="400" w:type="pct"/>
            <w:tcBorders>
              <w:top w:val="single" w:color="000000" w:sz="4" w:space="0"/>
              <w:left w:val="single" w:color="000000" w:sz="4" w:space="0"/>
              <w:bottom w:val="nil"/>
              <w:right w:val="single" w:color="000000" w:sz="4" w:space="0"/>
            </w:tcBorders>
            <w:shd w:val="clear" w:color="auto" w:fill="auto"/>
            <w:vAlign w:val="center"/>
          </w:tcPr>
          <w:p w14:paraId="390BCD98">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反向</w:t>
            </w:r>
          </w:p>
        </w:tc>
        <w:tc>
          <w:tcPr>
            <w:tcW w:w="486" w:type="pct"/>
            <w:tcBorders>
              <w:top w:val="single" w:color="000000" w:sz="4" w:space="0"/>
              <w:left w:val="single" w:color="000000" w:sz="4" w:space="0"/>
              <w:bottom w:val="nil"/>
              <w:right w:val="single" w:color="000000" w:sz="4" w:space="0"/>
            </w:tcBorders>
            <w:shd w:val="clear" w:color="auto" w:fill="auto"/>
            <w:vAlign w:val="center"/>
          </w:tcPr>
          <w:p w14:paraId="14DB01C9">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小于等于</w:t>
            </w:r>
          </w:p>
        </w:tc>
        <w:tc>
          <w:tcPr>
            <w:tcW w:w="451" w:type="pct"/>
            <w:tcBorders>
              <w:top w:val="single" w:color="000000" w:sz="4" w:space="0"/>
              <w:left w:val="single" w:color="000000" w:sz="4" w:space="0"/>
              <w:bottom w:val="nil"/>
              <w:right w:val="single" w:color="000000" w:sz="4" w:space="0"/>
            </w:tcBorders>
            <w:shd w:val="clear" w:color="auto" w:fill="auto"/>
            <w:vAlign w:val="center"/>
          </w:tcPr>
          <w:p w14:paraId="30E02D06">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12</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232C1114">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12</w:t>
            </w:r>
          </w:p>
        </w:tc>
        <w:tc>
          <w:tcPr>
            <w:tcW w:w="299" w:type="pct"/>
            <w:tcBorders>
              <w:top w:val="single" w:color="000000" w:sz="4" w:space="0"/>
              <w:left w:val="single" w:color="000000" w:sz="4" w:space="0"/>
              <w:bottom w:val="nil"/>
              <w:right w:val="single" w:color="000000" w:sz="4" w:space="0"/>
            </w:tcBorders>
            <w:shd w:val="clear" w:color="auto" w:fill="auto"/>
            <w:vAlign w:val="center"/>
          </w:tcPr>
          <w:p w14:paraId="6C97F432">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月</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1C800A64">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771B6B47">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w:t>
            </w:r>
          </w:p>
        </w:tc>
        <w:tc>
          <w:tcPr>
            <w:tcW w:w="662" w:type="pct"/>
            <w:tcBorders>
              <w:top w:val="single" w:color="000000" w:sz="4" w:space="0"/>
              <w:left w:val="single" w:color="000000" w:sz="4" w:space="0"/>
              <w:bottom w:val="nil"/>
              <w:right w:val="single" w:color="000000" w:sz="4" w:space="0"/>
            </w:tcBorders>
            <w:shd w:val="clear" w:color="auto" w:fill="auto"/>
            <w:vAlign w:val="center"/>
          </w:tcPr>
          <w:p w14:paraId="71EF7189">
            <w:pPr>
              <w:jc w:val="center"/>
              <w:rPr>
                <w:rFonts w:hint="eastAsia" w:ascii="宋体" w:hAnsi="宋体" w:cs="宋体"/>
                <w:color w:val="000000"/>
                <w:sz w:val="15"/>
                <w:szCs w:val="15"/>
              </w:rPr>
            </w:pPr>
          </w:p>
        </w:tc>
      </w:tr>
      <w:tr w14:paraId="72B818A0">
        <w:tblPrEx>
          <w:tblCellMar>
            <w:top w:w="0" w:type="dxa"/>
            <w:left w:w="108" w:type="dxa"/>
            <w:bottom w:w="0" w:type="dxa"/>
            <w:right w:w="108" w:type="dxa"/>
          </w:tblCellMar>
        </w:tblPrEx>
        <w:trPr>
          <w:cantSplit/>
          <w:trHeight w:val="90" w:hRule="atLeast"/>
        </w:trPr>
        <w:tc>
          <w:tcPr>
            <w:tcW w:w="278" w:type="pct"/>
            <w:vMerge w:val="continue"/>
            <w:tcBorders>
              <w:top w:val="single" w:color="000000" w:sz="4" w:space="0"/>
              <w:left w:val="single" w:color="000000" w:sz="4" w:space="0"/>
              <w:bottom w:val="nil"/>
              <w:right w:val="single" w:color="000000" w:sz="4" w:space="0"/>
            </w:tcBorders>
            <w:shd w:val="clear" w:color="auto" w:fill="auto"/>
            <w:vAlign w:val="center"/>
          </w:tcPr>
          <w:p w14:paraId="77C90961">
            <w:pPr>
              <w:jc w:val="center"/>
              <w:rPr>
                <w:rFonts w:hint="eastAsia" w:ascii="宋体" w:hAnsi="宋体" w:cs="宋体"/>
                <w:color w:val="000000"/>
                <w:sz w:val="15"/>
                <w:szCs w:val="15"/>
              </w:rPr>
            </w:pPr>
          </w:p>
        </w:tc>
        <w:tc>
          <w:tcPr>
            <w:tcW w:w="286" w:type="pct"/>
            <w:vMerge w:val="continue"/>
            <w:tcBorders>
              <w:top w:val="single" w:color="000000" w:sz="4" w:space="0"/>
              <w:left w:val="single" w:color="000000" w:sz="4" w:space="0"/>
              <w:bottom w:val="nil"/>
              <w:right w:val="single" w:color="000000" w:sz="4" w:space="0"/>
            </w:tcBorders>
            <w:shd w:val="clear" w:color="auto" w:fill="auto"/>
            <w:vAlign w:val="center"/>
          </w:tcPr>
          <w:p w14:paraId="7679B6FC">
            <w:pPr>
              <w:jc w:val="center"/>
              <w:rPr>
                <w:rFonts w:hint="eastAsia" w:ascii="宋体" w:hAnsi="宋体" w:cs="宋体"/>
                <w:color w:val="000000"/>
                <w:sz w:val="15"/>
                <w:szCs w:val="15"/>
              </w:rPr>
            </w:pPr>
          </w:p>
        </w:tc>
        <w:tc>
          <w:tcPr>
            <w:tcW w:w="412" w:type="pct"/>
            <w:vMerge w:val="continue"/>
            <w:tcBorders>
              <w:top w:val="single" w:color="000000" w:sz="4" w:space="0"/>
              <w:left w:val="single" w:color="000000" w:sz="4" w:space="0"/>
              <w:bottom w:val="nil"/>
              <w:right w:val="single" w:color="000000" w:sz="4" w:space="0"/>
            </w:tcBorders>
            <w:shd w:val="clear" w:color="auto" w:fill="auto"/>
            <w:vAlign w:val="center"/>
          </w:tcPr>
          <w:p w14:paraId="366DDF5A">
            <w:pPr>
              <w:jc w:val="center"/>
              <w:rPr>
                <w:rFonts w:hint="eastAsia" w:ascii="宋体" w:hAnsi="宋体" w:cs="宋体"/>
                <w:color w:val="000000"/>
                <w:sz w:val="15"/>
                <w:szCs w:val="15"/>
              </w:rPr>
            </w:pPr>
          </w:p>
        </w:tc>
        <w:tc>
          <w:tcPr>
            <w:tcW w:w="616" w:type="pct"/>
            <w:tcBorders>
              <w:top w:val="single" w:color="000000" w:sz="4" w:space="0"/>
              <w:left w:val="single" w:color="000000" w:sz="4" w:space="0"/>
              <w:bottom w:val="nil"/>
              <w:right w:val="single" w:color="000000" w:sz="4" w:space="0"/>
            </w:tcBorders>
            <w:shd w:val="clear" w:color="auto" w:fill="auto"/>
            <w:vAlign w:val="center"/>
          </w:tcPr>
          <w:p w14:paraId="301E58A3">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法定检测报告出具时间</w:t>
            </w:r>
          </w:p>
        </w:tc>
        <w:tc>
          <w:tcPr>
            <w:tcW w:w="400" w:type="pct"/>
            <w:tcBorders>
              <w:top w:val="single" w:color="000000" w:sz="4" w:space="0"/>
              <w:left w:val="single" w:color="000000" w:sz="4" w:space="0"/>
              <w:bottom w:val="nil"/>
              <w:right w:val="single" w:color="000000" w:sz="4" w:space="0"/>
            </w:tcBorders>
            <w:shd w:val="clear" w:color="auto" w:fill="auto"/>
            <w:vAlign w:val="center"/>
          </w:tcPr>
          <w:p w14:paraId="173B2FFF">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反向</w:t>
            </w:r>
          </w:p>
        </w:tc>
        <w:tc>
          <w:tcPr>
            <w:tcW w:w="486" w:type="pct"/>
            <w:tcBorders>
              <w:top w:val="single" w:color="000000" w:sz="4" w:space="0"/>
              <w:left w:val="single" w:color="000000" w:sz="4" w:space="0"/>
              <w:bottom w:val="nil"/>
              <w:right w:val="single" w:color="000000" w:sz="4" w:space="0"/>
            </w:tcBorders>
            <w:shd w:val="clear" w:color="auto" w:fill="auto"/>
            <w:vAlign w:val="center"/>
          </w:tcPr>
          <w:p w14:paraId="54AD07C0">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小于等于</w:t>
            </w:r>
          </w:p>
        </w:tc>
        <w:tc>
          <w:tcPr>
            <w:tcW w:w="451" w:type="pct"/>
            <w:tcBorders>
              <w:top w:val="single" w:color="000000" w:sz="4" w:space="0"/>
              <w:left w:val="single" w:color="000000" w:sz="4" w:space="0"/>
              <w:bottom w:val="nil"/>
              <w:right w:val="single" w:color="000000" w:sz="4" w:space="0"/>
            </w:tcBorders>
            <w:shd w:val="clear" w:color="auto" w:fill="auto"/>
            <w:vAlign w:val="center"/>
          </w:tcPr>
          <w:p w14:paraId="0D0F40D9">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30</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1D376E1F">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30</w:t>
            </w:r>
          </w:p>
        </w:tc>
        <w:tc>
          <w:tcPr>
            <w:tcW w:w="299" w:type="pct"/>
            <w:tcBorders>
              <w:top w:val="single" w:color="000000" w:sz="4" w:space="0"/>
              <w:left w:val="single" w:color="000000" w:sz="4" w:space="0"/>
              <w:bottom w:val="nil"/>
              <w:right w:val="single" w:color="000000" w:sz="4" w:space="0"/>
            </w:tcBorders>
            <w:shd w:val="clear" w:color="auto" w:fill="auto"/>
            <w:vAlign w:val="center"/>
          </w:tcPr>
          <w:p w14:paraId="728851F5">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工作日</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72BD14C5">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5AD2B1A4">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w:t>
            </w:r>
          </w:p>
        </w:tc>
        <w:tc>
          <w:tcPr>
            <w:tcW w:w="662" w:type="pct"/>
            <w:tcBorders>
              <w:top w:val="single" w:color="000000" w:sz="4" w:space="0"/>
              <w:left w:val="single" w:color="000000" w:sz="4" w:space="0"/>
              <w:bottom w:val="nil"/>
              <w:right w:val="single" w:color="000000" w:sz="4" w:space="0"/>
            </w:tcBorders>
            <w:shd w:val="clear" w:color="auto" w:fill="auto"/>
            <w:vAlign w:val="center"/>
          </w:tcPr>
          <w:p w14:paraId="5FF5C5F4">
            <w:pPr>
              <w:jc w:val="center"/>
              <w:rPr>
                <w:rFonts w:hint="eastAsia" w:ascii="宋体" w:hAnsi="宋体" w:cs="宋体"/>
                <w:color w:val="000000"/>
                <w:sz w:val="15"/>
                <w:szCs w:val="15"/>
              </w:rPr>
            </w:pPr>
          </w:p>
        </w:tc>
      </w:tr>
      <w:tr w14:paraId="646E8775">
        <w:tblPrEx>
          <w:tblCellMar>
            <w:top w:w="0" w:type="dxa"/>
            <w:left w:w="108" w:type="dxa"/>
            <w:bottom w:w="0" w:type="dxa"/>
            <w:right w:w="108" w:type="dxa"/>
          </w:tblCellMar>
        </w:tblPrEx>
        <w:trPr>
          <w:cantSplit/>
          <w:trHeight w:val="90" w:hRule="atLeast"/>
        </w:trPr>
        <w:tc>
          <w:tcPr>
            <w:tcW w:w="278" w:type="pct"/>
            <w:vMerge w:val="continue"/>
            <w:tcBorders>
              <w:top w:val="single" w:color="000000" w:sz="4" w:space="0"/>
              <w:left w:val="single" w:color="000000" w:sz="4" w:space="0"/>
              <w:bottom w:val="nil"/>
              <w:right w:val="single" w:color="000000" w:sz="4" w:space="0"/>
            </w:tcBorders>
            <w:shd w:val="clear" w:color="auto" w:fill="auto"/>
            <w:vAlign w:val="center"/>
          </w:tcPr>
          <w:p w14:paraId="1B959D0D">
            <w:pPr>
              <w:jc w:val="center"/>
              <w:rPr>
                <w:rFonts w:hint="eastAsia" w:ascii="宋体" w:hAnsi="宋体" w:cs="宋体"/>
                <w:color w:val="000000"/>
                <w:sz w:val="15"/>
                <w:szCs w:val="15"/>
              </w:rPr>
            </w:pPr>
          </w:p>
        </w:tc>
        <w:tc>
          <w:tcPr>
            <w:tcW w:w="286" w:type="pct"/>
            <w:vMerge w:val="continue"/>
            <w:tcBorders>
              <w:top w:val="single" w:color="000000" w:sz="4" w:space="0"/>
              <w:left w:val="single" w:color="000000" w:sz="4" w:space="0"/>
              <w:bottom w:val="nil"/>
              <w:right w:val="single" w:color="000000" w:sz="4" w:space="0"/>
            </w:tcBorders>
            <w:shd w:val="clear" w:color="auto" w:fill="auto"/>
            <w:vAlign w:val="center"/>
          </w:tcPr>
          <w:p w14:paraId="55B6B6FD">
            <w:pPr>
              <w:jc w:val="center"/>
              <w:rPr>
                <w:rFonts w:hint="eastAsia" w:ascii="宋体" w:hAnsi="宋体" w:cs="宋体"/>
                <w:color w:val="000000"/>
                <w:sz w:val="15"/>
                <w:szCs w:val="15"/>
              </w:rPr>
            </w:pPr>
          </w:p>
        </w:tc>
        <w:tc>
          <w:tcPr>
            <w:tcW w:w="412" w:type="pct"/>
            <w:vMerge w:val="restart"/>
            <w:tcBorders>
              <w:top w:val="single" w:color="000000" w:sz="4" w:space="0"/>
              <w:left w:val="single" w:color="000000" w:sz="4" w:space="0"/>
              <w:bottom w:val="nil"/>
              <w:right w:val="single" w:color="000000" w:sz="4" w:space="0"/>
            </w:tcBorders>
            <w:shd w:val="clear" w:color="auto" w:fill="auto"/>
            <w:vAlign w:val="center"/>
          </w:tcPr>
          <w:p w14:paraId="5D96FBBF">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成本指标</w:t>
            </w:r>
          </w:p>
        </w:tc>
        <w:tc>
          <w:tcPr>
            <w:tcW w:w="616" w:type="pct"/>
            <w:tcBorders>
              <w:top w:val="single" w:color="000000" w:sz="4" w:space="0"/>
              <w:left w:val="single" w:color="000000" w:sz="4" w:space="0"/>
              <w:bottom w:val="nil"/>
              <w:right w:val="single" w:color="000000" w:sz="4" w:space="0"/>
            </w:tcBorders>
            <w:shd w:val="clear" w:color="auto" w:fill="auto"/>
            <w:vAlign w:val="center"/>
          </w:tcPr>
          <w:p w14:paraId="0444C78D">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锅炉压力容器与特种设备安全监管成本</w:t>
            </w:r>
          </w:p>
        </w:tc>
        <w:tc>
          <w:tcPr>
            <w:tcW w:w="400" w:type="pct"/>
            <w:tcBorders>
              <w:top w:val="single" w:color="000000" w:sz="4" w:space="0"/>
              <w:left w:val="single" w:color="000000" w:sz="4" w:space="0"/>
              <w:bottom w:val="nil"/>
              <w:right w:val="single" w:color="000000" w:sz="4" w:space="0"/>
            </w:tcBorders>
            <w:shd w:val="clear" w:color="auto" w:fill="auto"/>
            <w:vAlign w:val="center"/>
          </w:tcPr>
          <w:p w14:paraId="5DA814AF">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反向</w:t>
            </w:r>
          </w:p>
        </w:tc>
        <w:tc>
          <w:tcPr>
            <w:tcW w:w="486" w:type="pct"/>
            <w:tcBorders>
              <w:top w:val="single" w:color="000000" w:sz="4" w:space="0"/>
              <w:left w:val="single" w:color="000000" w:sz="4" w:space="0"/>
              <w:bottom w:val="nil"/>
              <w:right w:val="single" w:color="000000" w:sz="4" w:space="0"/>
            </w:tcBorders>
            <w:shd w:val="clear" w:color="auto" w:fill="auto"/>
            <w:vAlign w:val="center"/>
          </w:tcPr>
          <w:p w14:paraId="142E5AB7">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小于等于</w:t>
            </w:r>
          </w:p>
        </w:tc>
        <w:tc>
          <w:tcPr>
            <w:tcW w:w="451" w:type="pct"/>
            <w:tcBorders>
              <w:top w:val="single" w:color="000000" w:sz="4" w:space="0"/>
              <w:left w:val="single" w:color="000000" w:sz="4" w:space="0"/>
              <w:bottom w:val="nil"/>
              <w:right w:val="single" w:color="000000" w:sz="4" w:space="0"/>
            </w:tcBorders>
            <w:shd w:val="clear" w:color="auto" w:fill="auto"/>
            <w:vAlign w:val="center"/>
          </w:tcPr>
          <w:p w14:paraId="515AC97D">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1026</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22F0A44B">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453.4</w:t>
            </w:r>
          </w:p>
        </w:tc>
        <w:tc>
          <w:tcPr>
            <w:tcW w:w="299" w:type="pct"/>
            <w:tcBorders>
              <w:top w:val="single" w:color="000000" w:sz="4" w:space="0"/>
              <w:left w:val="single" w:color="000000" w:sz="4" w:space="0"/>
              <w:bottom w:val="nil"/>
              <w:right w:val="single" w:color="000000" w:sz="4" w:space="0"/>
            </w:tcBorders>
            <w:shd w:val="clear" w:color="auto" w:fill="auto"/>
            <w:vAlign w:val="center"/>
          </w:tcPr>
          <w:p w14:paraId="04DB8999">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万元</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753A5678">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5A143A05">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w:t>
            </w:r>
          </w:p>
        </w:tc>
        <w:tc>
          <w:tcPr>
            <w:tcW w:w="662" w:type="pct"/>
            <w:tcBorders>
              <w:top w:val="single" w:color="000000" w:sz="4" w:space="0"/>
              <w:left w:val="single" w:color="000000" w:sz="4" w:space="0"/>
              <w:bottom w:val="nil"/>
              <w:right w:val="single" w:color="000000" w:sz="4" w:space="0"/>
            </w:tcBorders>
            <w:shd w:val="clear" w:color="auto" w:fill="auto"/>
            <w:vAlign w:val="center"/>
          </w:tcPr>
          <w:p w14:paraId="5502B88B">
            <w:pPr>
              <w:jc w:val="center"/>
              <w:rPr>
                <w:rFonts w:hint="eastAsia" w:ascii="宋体" w:hAnsi="宋体" w:cs="宋体"/>
                <w:color w:val="000000"/>
                <w:sz w:val="15"/>
                <w:szCs w:val="15"/>
              </w:rPr>
            </w:pPr>
          </w:p>
        </w:tc>
      </w:tr>
      <w:tr w14:paraId="04438F7F">
        <w:tblPrEx>
          <w:tblCellMar>
            <w:top w:w="0" w:type="dxa"/>
            <w:left w:w="108" w:type="dxa"/>
            <w:bottom w:w="0" w:type="dxa"/>
            <w:right w:w="108" w:type="dxa"/>
          </w:tblCellMar>
        </w:tblPrEx>
        <w:trPr>
          <w:cantSplit/>
          <w:trHeight w:val="90" w:hRule="atLeast"/>
        </w:trPr>
        <w:tc>
          <w:tcPr>
            <w:tcW w:w="278" w:type="pct"/>
            <w:vMerge w:val="continue"/>
            <w:tcBorders>
              <w:top w:val="single" w:color="000000" w:sz="4" w:space="0"/>
              <w:left w:val="single" w:color="000000" w:sz="4" w:space="0"/>
              <w:bottom w:val="nil"/>
              <w:right w:val="single" w:color="000000" w:sz="4" w:space="0"/>
            </w:tcBorders>
            <w:shd w:val="clear" w:color="auto" w:fill="auto"/>
            <w:vAlign w:val="center"/>
          </w:tcPr>
          <w:p w14:paraId="7F4F80F8">
            <w:pPr>
              <w:jc w:val="center"/>
              <w:rPr>
                <w:rFonts w:hint="eastAsia" w:ascii="宋体" w:hAnsi="宋体" w:cs="宋体"/>
                <w:color w:val="000000"/>
                <w:sz w:val="15"/>
                <w:szCs w:val="15"/>
              </w:rPr>
            </w:pPr>
          </w:p>
        </w:tc>
        <w:tc>
          <w:tcPr>
            <w:tcW w:w="286" w:type="pct"/>
            <w:vMerge w:val="continue"/>
            <w:tcBorders>
              <w:top w:val="single" w:color="000000" w:sz="4" w:space="0"/>
              <w:left w:val="single" w:color="000000" w:sz="4" w:space="0"/>
              <w:bottom w:val="nil"/>
              <w:right w:val="single" w:color="000000" w:sz="4" w:space="0"/>
            </w:tcBorders>
            <w:shd w:val="clear" w:color="auto" w:fill="auto"/>
            <w:vAlign w:val="center"/>
          </w:tcPr>
          <w:p w14:paraId="2813B8C2">
            <w:pPr>
              <w:jc w:val="center"/>
              <w:rPr>
                <w:rFonts w:hint="eastAsia" w:ascii="宋体" w:hAnsi="宋体" w:cs="宋体"/>
                <w:color w:val="000000"/>
                <w:sz w:val="15"/>
                <w:szCs w:val="15"/>
              </w:rPr>
            </w:pPr>
          </w:p>
        </w:tc>
        <w:tc>
          <w:tcPr>
            <w:tcW w:w="412" w:type="pct"/>
            <w:vMerge w:val="continue"/>
            <w:tcBorders>
              <w:top w:val="single" w:color="000000" w:sz="4" w:space="0"/>
              <w:left w:val="single" w:color="000000" w:sz="4" w:space="0"/>
              <w:bottom w:val="nil"/>
              <w:right w:val="single" w:color="000000" w:sz="4" w:space="0"/>
            </w:tcBorders>
            <w:shd w:val="clear" w:color="auto" w:fill="auto"/>
            <w:vAlign w:val="center"/>
          </w:tcPr>
          <w:p w14:paraId="17A3BE53">
            <w:pPr>
              <w:jc w:val="center"/>
              <w:rPr>
                <w:rFonts w:hint="eastAsia" w:ascii="宋体" w:hAnsi="宋体" w:cs="宋体"/>
                <w:color w:val="000000"/>
                <w:sz w:val="15"/>
                <w:szCs w:val="15"/>
              </w:rPr>
            </w:pPr>
          </w:p>
        </w:tc>
        <w:tc>
          <w:tcPr>
            <w:tcW w:w="616" w:type="pct"/>
            <w:tcBorders>
              <w:top w:val="single" w:color="000000" w:sz="4" w:space="0"/>
              <w:left w:val="single" w:color="000000" w:sz="4" w:space="0"/>
              <w:bottom w:val="nil"/>
              <w:right w:val="single" w:color="000000" w:sz="4" w:space="0"/>
            </w:tcBorders>
            <w:shd w:val="clear" w:color="auto" w:fill="auto"/>
            <w:vAlign w:val="center"/>
          </w:tcPr>
          <w:p w14:paraId="7FC93371">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人员考试成本</w:t>
            </w:r>
          </w:p>
        </w:tc>
        <w:tc>
          <w:tcPr>
            <w:tcW w:w="400" w:type="pct"/>
            <w:tcBorders>
              <w:top w:val="single" w:color="000000" w:sz="4" w:space="0"/>
              <w:left w:val="single" w:color="000000" w:sz="4" w:space="0"/>
              <w:bottom w:val="nil"/>
              <w:right w:val="single" w:color="000000" w:sz="4" w:space="0"/>
            </w:tcBorders>
            <w:shd w:val="clear" w:color="auto" w:fill="auto"/>
            <w:vAlign w:val="center"/>
          </w:tcPr>
          <w:p w14:paraId="64C76637">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反向</w:t>
            </w:r>
          </w:p>
        </w:tc>
        <w:tc>
          <w:tcPr>
            <w:tcW w:w="486" w:type="pct"/>
            <w:tcBorders>
              <w:top w:val="single" w:color="000000" w:sz="4" w:space="0"/>
              <w:left w:val="single" w:color="000000" w:sz="4" w:space="0"/>
              <w:bottom w:val="nil"/>
              <w:right w:val="single" w:color="000000" w:sz="4" w:space="0"/>
            </w:tcBorders>
            <w:shd w:val="clear" w:color="auto" w:fill="auto"/>
            <w:vAlign w:val="center"/>
          </w:tcPr>
          <w:p w14:paraId="50A94909">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小于等于</w:t>
            </w:r>
          </w:p>
        </w:tc>
        <w:tc>
          <w:tcPr>
            <w:tcW w:w="451" w:type="pct"/>
            <w:tcBorders>
              <w:top w:val="single" w:color="000000" w:sz="4" w:space="0"/>
              <w:left w:val="single" w:color="000000" w:sz="4" w:space="0"/>
              <w:bottom w:val="nil"/>
              <w:right w:val="single" w:color="000000" w:sz="4" w:space="0"/>
            </w:tcBorders>
            <w:shd w:val="clear" w:color="auto" w:fill="auto"/>
            <w:vAlign w:val="center"/>
          </w:tcPr>
          <w:p w14:paraId="0963BE2E">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100</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5283B15E">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100</w:t>
            </w:r>
          </w:p>
        </w:tc>
        <w:tc>
          <w:tcPr>
            <w:tcW w:w="299" w:type="pct"/>
            <w:tcBorders>
              <w:top w:val="single" w:color="000000" w:sz="4" w:space="0"/>
              <w:left w:val="single" w:color="000000" w:sz="4" w:space="0"/>
              <w:bottom w:val="nil"/>
              <w:right w:val="single" w:color="000000" w:sz="4" w:space="0"/>
            </w:tcBorders>
            <w:shd w:val="clear" w:color="auto" w:fill="auto"/>
            <w:vAlign w:val="center"/>
          </w:tcPr>
          <w:p w14:paraId="21384801">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元/人/天</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072F1493">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34350672">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w:t>
            </w:r>
          </w:p>
        </w:tc>
        <w:tc>
          <w:tcPr>
            <w:tcW w:w="662" w:type="pct"/>
            <w:tcBorders>
              <w:top w:val="single" w:color="000000" w:sz="4" w:space="0"/>
              <w:left w:val="single" w:color="000000" w:sz="4" w:space="0"/>
              <w:bottom w:val="nil"/>
              <w:right w:val="single" w:color="000000" w:sz="4" w:space="0"/>
            </w:tcBorders>
            <w:shd w:val="clear" w:color="auto" w:fill="auto"/>
            <w:vAlign w:val="center"/>
          </w:tcPr>
          <w:p w14:paraId="71452258">
            <w:pPr>
              <w:jc w:val="center"/>
              <w:rPr>
                <w:rFonts w:hint="eastAsia" w:ascii="宋体" w:hAnsi="宋体" w:cs="宋体"/>
                <w:color w:val="000000"/>
                <w:sz w:val="15"/>
                <w:szCs w:val="15"/>
              </w:rPr>
            </w:pPr>
          </w:p>
        </w:tc>
      </w:tr>
      <w:tr w14:paraId="5EF0F0F7">
        <w:tblPrEx>
          <w:tblCellMar>
            <w:top w:w="0" w:type="dxa"/>
            <w:left w:w="108" w:type="dxa"/>
            <w:bottom w:w="0" w:type="dxa"/>
            <w:right w:w="108" w:type="dxa"/>
          </w:tblCellMar>
        </w:tblPrEx>
        <w:trPr>
          <w:cantSplit/>
          <w:trHeight w:val="90" w:hRule="atLeast"/>
        </w:trPr>
        <w:tc>
          <w:tcPr>
            <w:tcW w:w="278" w:type="pct"/>
            <w:vMerge w:val="continue"/>
            <w:tcBorders>
              <w:top w:val="single" w:color="000000" w:sz="4" w:space="0"/>
              <w:left w:val="single" w:color="000000" w:sz="4" w:space="0"/>
              <w:bottom w:val="nil"/>
              <w:right w:val="single" w:color="000000" w:sz="4" w:space="0"/>
            </w:tcBorders>
            <w:shd w:val="clear" w:color="auto" w:fill="auto"/>
            <w:vAlign w:val="center"/>
          </w:tcPr>
          <w:p w14:paraId="2EE4A2A0">
            <w:pPr>
              <w:jc w:val="center"/>
              <w:rPr>
                <w:rFonts w:hint="eastAsia" w:ascii="宋体" w:hAnsi="宋体" w:cs="宋体"/>
                <w:color w:val="000000"/>
                <w:sz w:val="15"/>
                <w:szCs w:val="15"/>
              </w:rPr>
            </w:pPr>
          </w:p>
        </w:tc>
        <w:tc>
          <w:tcPr>
            <w:tcW w:w="286" w:type="pct"/>
            <w:vMerge w:val="restart"/>
            <w:tcBorders>
              <w:top w:val="single" w:color="000000" w:sz="4" w:space="0"/>
              <w:left w:val="single" w:color="000000" w:sz="4" w:space="0"/>
              <w:bottom w:val="nil"/>
              <w:right w:val="single" w:color="000000" w:sz="4" w:space="0"/>
            </w:tcBorders>
            <w:shd w:val="clear" w:color="auto" w:fill="auto"/>
            <w:vAlign w:val="center"/>
          </w:tcPr>
          <w:p w14:paraId="143FA367">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效益指标</w:t>
            </w:r>
          </w:p>
        </w:tc>
        <w:tc>
          <w:tcPr>
            <w:tcW w:w="412" w:type="pct"/>
            <w:tcBorders>
              <w:top w:val="single" w:color="000000" w:sz="4" w:space="0"/>
              <w:left w:val="single" w:color="000000" w:sz="4" w:space="0"/>
              <w:bottom w:val="nil"/>
              <w:right w:val="single" w:color="000000" w:sz="4" w:space="0"/>
            </w:tcBorders>
            <w:shd w:val="clear" w:color="auto" w:fill="auto"/>
            <w:vAlign w:val="center"/>
          </w:tcPr>
          <w:p w14:paraId="686C60A3">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社会效益</w:t>
            </w:r>
          </w:p>
        </w:tc>
        <w:tc>
          <w:tcPr>
            <w:tcW w:w="616" w:type="pct"/>
            <w:tcBorders>
              <w:top w:val="single" w:color="000000" w:sz="4" w:space="0"/>
              <w:left w:val="single" w:color="000000" w:sz="4" w:space="0"/>
              <w:bottom w:val="nil"/>
              <w:right w:val="single" w:color="000000" w:sz="4" w:space="0"/>
            </w:tcBorders>
            <w:shd w:val="clear" w:color="auto" w:fill="auto"/>
            <w:vAlign w:val="center"/>
          </w:tcPr>
          <w:p w14:paraId="20C42C3A">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有效保障人民群众生命与财产安全</w:t>
            </w:r>
          </w:p>
        </w:tc>
        <w:tc>
          <w:tcPr>
            <w:tcW w:w="400" w:type="pct"/>
            <w:tcBorders>
              <w:top w:val="single" w:color="000000" w:sz="4" w:space="0"/>
              <w:left w:val="single" w:color="000000" w:sz="4" w:space="0"/>
              <w:bottom w:val="nil"/>
              <w:right w:val="single" w:color="000000" w:sz="4" w:space="0"/>
            </w:tcBorders>
            <w:shd w:val="clear" w:color="auto" w:fill="auto"/>
            <w:vAlign w:val="center"/>
          </w:tcPr>
          <w:p w14:paraId="20E16CD6">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定性</w:t>
            </w:r>
          </w:p>
        </w:tc>
        <w:tc>
          <w:tcPr>
            <w:tcW w:w="486" w:type="pct"/>
            <w:tcBorders>
              <w:top w:val="single" w:color="000000" w:sz="4" w:space="0"/>
              <w:left w:val="single" w:color="000000" w:sz="4" w:space="0"/>
              <w:bottom w:val="nil"/>
              <w:right w:val="single" w:color="000000" w:sz="4" w:space="0"/>
            </w:tcBorders>
            <w:shd w:val="clear" w:color="auto" w:fill="auto"/>
            <w:vAlign w:val="center"/>
          </w:tcPr>
          <w:p w14:paraId="03191753">
            <w:pPr>
              <w:jc w:val="center"/>
              <w:rPr>
                <w:rFonts w:hint="eastAsia" w:ascii="宋体" w:hAnsi="宋体" w:cs="宋体"/>
                <w:color w:val="000000"/>
                <w:sz w:val="15"/>
                <w:szCs w:val="15"/>
              </w:rPr>
            </w:pPr>
          </w:p>
        </w:tc>
        <w:tc>
          <w:tcPr>
            <w:tcW w:w="451" w:type="pct"/>
            <w:tcBorders>
              <w:top w:val="single" w:color="000000" w:sz="4" w:space="0"/>
              <w:left w:val="single" w:color="000000" w:sz="4" w:space="0"/>
              <w:bottom w:val="nil"/>
              <w:right w:val="single" w:color="000000" w:sz="4" w:space="0"/>
            </w:tcBorders>
            <w:shd w:val="clear" w:color="auto" w:fill="auto"/>
            <w:vAlign w:val="center"/>
          </w:tcPr>
          <w:p w14:paraId="74A08CDD">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稳步提高</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4E48DF97">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稳步提高</w:t>
            </w:r>
          </w:p>
        </w:tc>
        <w:tc>
          <w:tcPr>
            <w:tcW w:w="299" w:type="pct"/>
            <w:tcBorders>
              <w:top w:val="single" w:color="000000" w:sz="4" w:space="0"/>
              <w:left w:val="single" w:color="000000" w:sz="4" w:space="0"/>
              <w:bottom w:val="nil"/>
              <w:right w:val="single" w:color="000000" w:sz="4" w:space="0"/>
            </w:tcBorders>
            <w:shd w:val="clear" w:color="auto" w:fill="auto"/>
            <w:vAlign w:val="center"/>
          </w:tcPr>
          <w:p w14:paraId="5CB68496">
            <w:pPr>
              <w:jc w:val="center"/>
              <w:rPr>
                <w:rFonts w:hint="eastAsia" w:ascii="宋体" w:hAnsi="宋体" w:cs="宋体"/>
                <w:color w:val="000000"/>
                <w:sz w:val="15"/>
                <w:szCs w:val="15"/>
              </w:rPr>
            </w:pPr>
          </w:p>
        </w:tc>
        <w:tc>
          <w:tcPr>
            <w:tcW w:w="348" w:type="pct"/>
            <w:tcBorders>
              <w:top w:val="single" w:color="000000" w:sz="4" w:space="0"/>
              <w:left w:val="single" w:color="000000" w:sz="4" w:space="0"/>
              <w:bottom w:val="nil"/>
              <w:right w:val="single" w:color="000000" w:sz="4" w:space="0"/>
            </w:tcBorders>
            <w:shd w:val="clear" w:color="auto" w:fill="auto"/>
            <w:vAlign w:val="center"/>
          </w:tcPr>
          <w:p w14:paraId="61095B70">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3F05B593">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w:t>
            </w:r>
          </w:p>
        </w:tc>
        <w:tc>
          <w:tcPr>
            <w:tcW w:w="662" w:type="pct"/>
            <w:tcBorders>
              <w:top w:val="single" w:color="000000" w:sz="4" w:space="0"/>
              <w:left w:val="single" w:color="000000" w:sz="4" w:space="0"/>
              <w:bottom w:val="nil"/>
              <w:right w:val="single" w:color="000000" w:sz="4" w:space="0"/>
            </w:tcBorders>
            <w:shd w:val="clear" w:color="auto" w:fill="auto"/>
            <w:vAlign w:val="center"/>
          </w:tcPr>
          <w:p w14:paraId="591392BB">
            <w:pPr>
              <w:jc w:val="center"/>
              <w:rPr>
                <w:rFonts w:hint="eastAsia" w:ascii="宋体" w:hAnsi="宋体" w:cs="宋体"/>
                <w:color w:val="000000"/>
                <w:sz w:val="15"/>
                <w:szCs w:val="15"/>
              </w:rPr>
            </w:pPr>
          </w:p>
        </w:tc>
      </w:tr>
      <w:tr w14:paraId="761458E1">
        <w:tblPrEx>
          <w:tblCellMar>
            <w:top w:w="0" w:type="dxa"/>
            <w:left w:w="108" w:type="dxa"/>
            <w:bottom w:w="0" w:type="dxa"/>
            <w:right w:w="108" w:type="dxa"/>
          </w:tblCellMar>
        </w:tblPrEx>
        <w:trPr>
          <w:cantSplit/>
          <w:trHeight w:val="90" w:hRule="atLeast"/>
        </w:trPr>
        <w:tc>
          <w:tcPr>
            <w:tcW w:w="278" w:type="pct"/>
            <w:vMerge w:val="continue"/>
            <w:tcBorders>
              <w:top w:val="single" w:color="000000" w:sz="4" w:space="0"/>
              <w:left w:val="single" w:color="000000" w:sz="4" w:space="0"/>
              <w:bottom w:val="nil"/>
              <w:right w:val="single" w:color="000000" w:sz="4" w:space="0"/>
            </w:tcBorders>
            <w:shd w:val="clear" w:color="auto" w:fill="auto"/>
            <w:vAlign w:val="center"/>
          </w:tcPr>
          <w:p w14:paraId="5C59162F">
            <w:pPr>
              <w:jc w:val="center"/>
              <w:rPr>
                <w:rFonts w:hint="eastAsia" w:ascii="宋体" w:hAnsi="宋体" w:cs="宋体"/>
                <w:color w:val="000000"/>
                <w:sz w:val="15"/>
                <w:szCs w:val="15"/>
              </w:rPr>
            </w:pPr>
          </w:p>
        </w:tc>
        <w:tc>
          <w:tcPr>
            <w:tcW w:w="286" w:type="pct"/>
            <w:vMerge w:val="continue"/>
            <w:tcBorders>
              <w:top w:val="single" w:color="000000" w:sz="4" w:space="0"/>
              <w:left w:val="single" w:color="000000" w:sz="4" w:space="0"/>
              <w:bottom w:val="nil"/>
              <w:right w:val="single" w:color="000000" w:sz="4" w:space="0"/>
            </w:tcBorders>
            <w:shd w:val="clear" w:color="auto" w:fill="auto"/>
            <w:vAlign w:val="center"/>
          </w:tcPr>
          <w:p w14:paraId="60B4FCD6">
            <w:pPr>
              <w:jc w:val="center"/>
              <w:rPr>
                <w:rFonts w:hint="eastAsia" w:ascii="宋体" w:hAnsi="宋体" w:cs="宋体"/>
                <w:color w:val="000000"/>
                <w:sz w:val="15"/>
                <w:szCs w:val="15"/>
              </w:rPr>
            </w:pPr>
          </w:p>
        </w:tc>
        <w:tc>
          <w:tcPr>
            <w:tcW w:w="412" w:type="pct"/>
            <w:vMerge w:val="restart"/>
            <w:tcBorders>
              <w:top w:val="single" w:color="000000" w:sz="4" w:space="0"/>
              <w:left w:val="single" w:color="000000" w:sz="4" w:space="0"/>
              <w:bottom w:val="nil"/>
              <w:right w:val="single" w:color="000000" w:sz="4" w:space="0"/>
            </w:tcBorders>
            <w:shd w:val="clear" w:color="auto" w:fill="auto"/>
            <w:vAlign w:val="center"/>
          </w:tcPr>
          <w:p w14:paraId="1A548FEF">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可持续影响</w:t>
            </w:r>
          </w:p>
        </w:tc>
        <w:tc>
          <w:tcPr>
            <w:tcW w:w="616" w:type="pct"/>
            <w:tcBorders>
              <w:top w:val="single" w:color="000000" w:sz="4" w:space="0"/>
              <w:left w:val="single" w:color="000000" w:sz="4" w:space="0"/>
              <w:bottom w:val="nil"/>
              <w:right w:val="single" w:color="000000" w:sz="4" w:space="0"/>
            </w:tcBorders>
            <w:shd w:val="clear" w:color="auto" w:fill="auto"/>
            <w:vAlign w:val="center"/>
          </w:tcPr>
          <w:p w14:paraId="392296C5">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锅炉压力容器与特种设备行业安全发展</w:t>
            </w:r>
          </w:p>
        </w:tc>
        <w:tc>
          <w:tcPr>
            <w:tcW w:w="400" w:type="pct"/>
            <w:tcBorders>
              <w:top w:val="single" w:color="000000" w:sz="4" w:space="0"/>
              <w:left w:val="single" w:color="000000" w:sz="4" w:space="0"/>
              <w:bottom w:val="nil"/>
              <w:right w:val="single" w:color="000000" w:sz="4" w:space="0"/>
            </w:tcBorders>
            <w:shd w:val="clear" w:color="auto" w:fill="auto"/>
            <w:vAlign w:val="center"/>
          </w:tcPr>
          <w:p w14:paraId="7EFEE053">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定性</w:t>
            </w:r>
          </w:p>
        </w:tc>
        <w:tc>
          <w:tcPr>
            <w:tcW w:w="486" w:type="pct"/>
            <w:tcBorders>
              <w:top w:val="single" w:color="000000" w:sz="4" w:space="0"/>
              <w:left w:val="single" w:color="000000" w:sz="4" w:space="0"/>
              <w:bottom w:val="nil"/>
              <w:right w:val="single" w:color="000000" w:sz="4" w:space="0"/>
            </w:tcBorders>
            <w:shd w:val="clear" w:color="auto" w:fill="auto"/>
            <w:vAlign w:val="center"/>
          </w:tcPr>
          <w:p w14:paraId="12F0CB6A">
            <w:pPr>
              <w:jc w:val="center"/>
              <w:rPr>
                <w:rFonts w:hint="eastAsia" w:ascii="宋体" w:hAnsi="宋体" w:cs="宋体"/>
                <w:color w:val="000000"/>
                <w:sz w:val="15"/>
                <w:szCs w:val="15"/>
              </w:rPr>
            </w:pPr>
          </w:p>
        </w:tc>
        <w:tc>
          <w:tcPr>
            <w:tcW w:w="451" w:type="pct"/>
            <w:tcBorders>
              <w:top w:val="single" w:color="000000" w:sz="4" w:space="0"/>
              <w:left w:val="single" w:color="000000" w:sz="4" w:space="0"/>
              <w:bottom w:val="nil"/>
              <w:right w:val="single" w:color="000000" w:sz="4" w:space="0"/>
            </w:tcBorders>
            <w:shd w:val="clear" w:color="auto" w:fill="auto"/>
            <w:vAlign w:val="center"/>
          </w:tcPr>
          <w:p w14:paraId="3AB84D57">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稳步提高</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4B7BE669">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稳步提高  </w:t>
            </w:r>
          </w:p>
        </w:tc>
        <w:tc>
          <w:tcPr>
            <w:tcW w:w="299" w:type="pct"/>
            <w:tcBorders>
              <w:top w:val="single" w:color="000000" w:sz="4" w:space="0"/>
              <w:left w:val="single" w:color="000000" w:sz="4" w:space="0"/>
              <w:bottom w:val="nil"/>
              <w:right w:val="single" w:color="000000" w:sz="4" w:space="0"/>
            </w:tcBorders>
            <w:shd w:val="clear" w:color="auto" w:fill="auto"/>
            <w:vAlign w:val="center"/>
          </w:tcPr>
          <w:p w14:paraId="6B4321E2">
            <w:pPr>
              <w:jc w:val="center"/>
              <w:rPr>
                <w:rFonts w:hint="eastAsia" w:ascii="宋体" w:hAnsi="宋体" w:cs="宋体"/>
                <w:color w:val="000000"/>
                <w:sz w:val="15"/>
                <w:szCs w:val="15"/>
              </w:rPr>
            </w:pPr>
          </w:p>
        </w:tc>
        <w:tc>
          <w:tcPr>
            <w:tcW w:w="348" w:type="pct"/>
            <w:tcBorders>
              <w:top w:val="single" w:color="000000" w:sz="4" w:space="0"/>
              <w:left w:val="single" w:color="000000" w:sz="4" w:space="0"/>
              <w:bottom w:val="nil"/>
              <w:right w:val="single" w:color="000000" w:sz="4" w:space="0"/>
            </w:tcBorders>
            <w:shd w:val="clear" w:color="auto" w:fill="auto"/>
            <w:vAlign w:val="center"/>
          </w:tcPr>
          <w:p w14:paraId="0977CFD8">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546D44F2">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w:t>
            </w:r>
          </w:p>
        </w:tc>
        <w:tc>
          <w:tcPr>
            <w:tcW w:w="662" w:type="pct"/>
            <w:tcBorders>
              <w:top w:val="single" w:color="000000" w:sz="4" w:space="0"/>
              <w:left w:val="single" w:color="000000" w:sz="4" w:space="0"/>
              <w:bottom w:val="nil"/>
              <w:right w:val="single" w:color="000000" w:sz="4" w:space="0"/>
            </w:tcBorders>
            <w:shd w:val="clear" w:color="auto" w:fill="auto"/>
            <w:vAlign w:val="center"/>
          </w:tcPr>
          <w:p w14:paraId="7EFAC995">
            <w:pPr>
              <w:jc w:val="center"/>
              <w:rPr>
                <w:rFonts w:hint="eastAsia" w:ascii="宋体" w:hAnsi="宋体" w:cs="宋体"/>
                <w:color w:val="000000"/>
                <w:sz w:val="15"/>
                <w:szCs w:val="15"/>
              </w:rPr>
            </w:pPr>
          </w:p>
        </w:tc>
      </w:tr>
      <w:tr w14:paraId="16549776">
        <w:tblPrEx>
          <w:tblCellMar>
            <w:top w:w="0" w:type="dxa"/>
            <w:left w:w="108" w:type="dxa"/>
            <w:bottom w:w="0" w:type="dxa"/>
            <w:right w:w="108" w:type="dxa"/>
          </w:tblCellMar>
        </w:tblPrEx>
        <w:trPr>
          <w:cantSplit/>
          <w:trHeight w:val="90" w:hRule="atLeast"/>
        </w:trPr>
        <w:tc>
          <w:tcPr>
            <w:tcW w:w="278" w:type="pct"/>
            <w:vMerge w:val="continue"/>
            <w:tcBorders>
              <w:top w:val="single" w:color="000000" w:sz="4" w:space="0"/>
              <w:left w:val="single" w:color="000000" w:sz="4" w:space="0"/>
              <w:bottom w:val="nil"/>
              <w:right w:val="single" w:color="000000" w:sz="4" w:space="0"/>
            </w:tcBorders>
            <w:shd w:val="clear" w:color="auto" w:fill="auto"/>
            <w:vAlign w:val="center"/>
          </w:tcPr>
          <w:p w14:paraId="05A2A468">
            <w:pPr>
              <w:jc w:val="center"/>
              <w:rPr>
                <w:rFonts w:hint="eastAsia" w:ascii="宋体" w:hAnsi="宋体" w:cs="宋体"/>
                <w:color w:val="000000"/>
                <w:sz w:val="15"/>
                <w:szCs w:val="15"/>
              </w:rPr>
            </w:pPr>
          </w:p>
        </w:tc>
        <w:tc>
          <w:tcPr>
            <w:tcW w:w="286" w:type="pct"/>
            <w:vMerge w:val="continue"/>
            <w:tcBorders>
              <w:top w:val="single" w:color="000000" w:sz="4" w:space="0"/>
              <w:left w:val="single" w:color="000000" w:sz="4" w:space="0"/>
              <w:bottom w:val="nil"/>
              <w:right w:val="single" w:color="000000" w:sz="4" w:space="0"/>
            </w:tcBorders>
            <w:shd w:val="clear" w:color="auto" w:fill="auto"/>
            <w:vAlign w:val="center"/>
          </w:tcPr>
          <w:p w14:paraId="4B89D637">
            <w:pPr>
              <w:jc w:val="center"/>
              <w:rPr>
                <w:rFonts w:hint="eastAsia" w:ascii="宋体" w:hAnsi="宋体" w:cs="宋体"/>
                <w:color w:val="000000"/>
                <w:sz w:val="15"/>
                <w:szCs w:val="15"/>
              </w:rPr>
            </w:pPr>
          </w:p>
        </w:tc>
        <w:tc>
          <w:tcPr>
            <w:tcW w:w="412" w:type="pct"/>
            <w:vMerge w:val="continue"/>
            <w:tcBorders>
              <w:top w:val="single" w:color="000000" w:sz="4" w:space="0"/>
              <w:left w:val="single" w:color="000000" w:sz="4" w:space="0"/>
              <w:bottom w:val="nil"/>
              <w:right w:val="single" w:color="000000" w:sz="4" w:space="0"/>
            </w:tcBorders>
            <w:shd w:val="clear" w:color="auto" w:fill="auto"/>
            <w:vAlign w:val="center"/>
          </w:tcPr>
          <w:p w14:paraId="01EBCACF">
            <w:pPr>
              <w:jc w:val="center"/>
              <w:rPr>
                <w:rFonts w:hint="eastAsia" w:ascii="宋体" w:hAnsi="宋体" w:cs="宋体"/>
                <w:color w:val="000000"/>
                <w:sz w:val="15"/>
                <w:szCs w:val="15"/>
              </w:rPr>
            </w:pPr>
          </w:p>
        </w:tc>
        <w:tc>
          <w:tcPr>
            <w:tcW w:w="616" w:type="pct"/>
            <w:tcBorders>
              <w:top w:val="single" w:color="000000" w:sz="4" w:space="0"/>
              <w:left w:val="single" w:color="000000" w:sz="4" w:space="0"/>
              <w:bottom w:val="nil"/>
              <w:right w:val="single" w:color="000000" w:sz="4" w:space="0"/>
            </w:tcBorders>
            <w:shd w:val="clear" w:color="auto" w:fill="auto"/>
            <w:vAlign w:val="center"/>
          </w:tcPr>
          <w:p w14:paraId="4DD01DF9">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提高锅炉压力容器与特种设备安全监管能力</w:t>
            </w:r>
          </w:p>
        </w:tc>
        <w:tc>
          <w:tcPr>
            <w:tcW w:w="400" w:type="pct"/>
            <w:tcBorders>
              <w:top w:val="single" w:color="000000" w:sz="4" w:space="0"/>
              <w:left w:val="single" w:color="000000" w:sz="4" w:space="0"/>
              <w:bottom w:val="nil"/>
              <w:right w:val="single" w:color="000000" w:sz="4" w:space="0"/>
            </w:tcBorders>
            <w:shd w:val="clear" w:color="auto" w:fill="auto"/>
            <w:vAlign w:val="center"/>
          </w:tcPr>
          <w:p w14:paraId="441AAAD5">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定性</w:t>
            </w:r>
          </w:p>
        </w:tc>
        <w:tc>
          <w:tcPr>
            <w:tcW w:w="486" w:type="pct"/>
            <w:tcBorders>
              <w:top w:val="single" w:color="000000" w:sz="4" w:space="0"/>
              <w:left w:val="single" w:color="000000" w:sz="4" w:space="0"/>
              <w:bottom w:val="nil"/>
              <w:right w:val="single" w:color="000000" w:sz="4" w:space="0"/>
            </w:tcBorders>
            <w:shd w:val="clear" w:color="auto" w:fill="auto"/>
            <w:vAlign w:val="center"/>
          </w:tcPr>
          <w:p w14:paraId="4E1881E6">
            <w:pPr>
              <w:jc w:val="center"/>
              <w:rPr>
                <w:rFonts w:hint="eastAsia" w:ascii="宋体" w:hAnsi="宋体" w:cs="宋体"/>
                <w:color w:val="000000"/>
                <w:sz w:val="15"/>
                <w:szCs w:val="15"/>
              </w:rPr>
            </w:pPr>
          </w:p>
        </w:tc>
        <w:tc>
          <w:tcPr>
            <w:tcW w:w="451" w:type="pct"/>
            <w:tcBorders>
              <w:top w:val="single" w:color="000000" w:sz="4" w:space="0"/>
              <w:left w:val="single" w:color="000000" w:sz="4" w:space="0"/>
              <w:bottom w:val="nil"/>
              <w:right w:val="single" w:color="000000" w:sz="4" w:space="0"/>
            </w:tcBorders>
            <w:shd w:val="clear" w:color="auto" w:fill="auto"/>
            <w:vAlign w:val="center"/>
          </w:tcPr>
          <w:p w14:paraId="1D3C2A33">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稳步提高</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282BB19B">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稳步提高  </w:t>
            </w:r>
          </w:p>
        </w:tc>
        <w:tc>
          <w:tcPr>
            <w:tcW w:w="299" w:type="pct"/>
            <w:tcBorders>
              <w:top w:val="single" w:color="000000" w:sz="4" w:space="0"/>
              <w:left w:val="single" w:color="000000" w:sz="4" w:space="0"/>
              <w:bottom w:val="nil"/>
              <w:right w:val="single" w:color="000000" w:sz="4" w:space="0"/>
            </w:tcBorders>
            <w:shd w:val="clear" w:color="auto" w:fill="auto"/>
            <w:vAlign w:val="center"/>
          </w:tcPr>
          <w:p w14:paraId="2F49614C">
            <w:pPr>
              <w:jc w:val="center"/>
              <w:rPr>
                <w:rFonts w:hint="eastAsia" w:ascii="宋体" w:hAnsi="宋体" w:cs="宋体"/>
                <w:color w:val="000000"/>
                <w:sz w:val="15"/>
                <w:szCs w:val="15"/>
              </w:rPr>
            </w:pPr>
          </w:p>
        </w:tc>
        <w:tc>
          <w:tcPr>
            <w:tcW w:w="348" w:type="pct"/>
            <w:tcBorders>
              <w:top w:val="single" w:color="000000" w:sz="4" w:space="0"/>
              <w:left w:val="single" w:color="000000" w:sz="4" w:space="0"/>
              <w:bottom w:val="nil"/>
              <w:right w:val="single" w:color="000000" w:sz="4" w:space="0"/>
            </w:tcBorders>
            <w:shd w:val="clear" w:color="auto" w:fill="auto"/>
            <w:vAlign w:val="center"/>
          </w:tcPr>
          <w:p w14:paraId="2D268038">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3911B57E">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w:t>
            </w:r>
          </w:p>
        </w:tc>
        <w:tc>
          <w:tcPr>
            <w:tcW w:w="662" w:type="pct"/>
            <w:tcBorders>
              <w:top w:val="single" w:color="000000" w:sz="4" w:space="0"/>
              <w:left w:val="single" w:color="000000" w:sz="4" w:space="0"/>
              <w:bottom w:val="nil"/>
              <w:right w:val="single" w:color="000000" w:sz="4" w:space="0"/>
            </w:tcBorders>
            <w:shd w:val="clear" w:color="auto" w:fill="auto"/>
            <w:vAlign w:val="center"/>
          </w:tcPr>
          <w:p w14:paraId="776C71BF">
            <w:pPr>
              <w:jc w:val="center"/>
              <w:rPr>
                <w:rFonts w:hint="eastAsia" w:ascii="宋体" w:hAnsi="宋体" w:cs="宋体"/>
                <w:color w:val="000000"/>
                <w:sz w:val="15"/>
                <w:szCs w:val="15"/>
              </w:rPr>
            </w:pPr>
          </w:p>
        </w:tc>
      </w:tr>
      <w:tr w14:paraId="762E6B8F">
        <w:tblPrEx>
          <w:tblCellMar>
            <w:top w:w="0" w:type="dxa"/>
            <w:left w:w="108" w:type="dxa"/>
            <w:bottom w:w="0" w:type="dxa"/>
            <w:right w:w="108" w:type="dxa"/>
          </w:tblCellMar>
        </w:tblPrEx>
        <w:trPr>
          <w:cantSplit/>
          <w:trHeight w:val="1350" w:hRule="atLeast"/>
        </w:trPr>
        <w:tc>
          <w:tcPr>
            <w:tcW w:w="278" w:type="pct"/>
            <w:vMerge w:val="continue"/>
            <w:tcBorders>
              <w:top w:val="single" w:color="000000" w:sz="4" w:space="0"/>
              <w:left w:val="single" w:color="000000" w:sz="4" w:space="0"/>
              <w:bottom w:val="nil"/>
              <w:right w:val="single" w:color="000000" w:sz="4" w:space="0"/>
            </w:tcBorders>
            <w:shd w:val="clear" w:color="auto" w:fill="auto"/>
            <w:vAlign w:val="center"/>
          </w:tcPr>
          <w:p w14:paraId="46435312">
            <w:pPr>
              <w:jc w:val="center"/>
              <w:rPr>
                <w:rFonts w:hint="eastAsia" w:ascii="宋体" w:hAnsi="宋体" w:cs="宋体"/>
                <w:color w:val="000000"/>
                <w:sz w:val="15"/>
                <w:szCs w:val="15"/>
              </w:rPr>
            </w:pPr>
          </w:p>
        </w:tc>
        <w:tc>
          <w:tcPr>
            <w:tcW w:w="286" w:type="pct"/>
            <w:vMerge w:val="restart"/>
            <w:tcBorders>
              <w:top w:val="single" w:color="000000" w:sz="4" w:space="0"/>
              <w:left w:val="single" w:color="000000" w:sz="4" w:space="0"/>
              <w:bottom w:val="nil"/>
              <w:right w:val="single" w:color="000000" w:sz="4" w:space="0"/>
            </w:tcBorders>
            <w:shd w:val="clear" w:color="auto" w:fill="auto"/>
            <w:vAlign w:val="center"/>
          </w:tcPr>
          <w:p w14:paraId="1FD6C523">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满意度指标</w:t>
            </w:r>
          </w:p>
        </w:tc>
        <w:tc>
          <w:tcPr>
            <w:tcW w:w="412" w:type="pct"/>
            <w:vMerge w:val="restart"/>
            <w:tcBorders>
              <w:top w:val="single" w:color="000000" w:sz="4" w:space="0"/>
              <w:left w:val="single" w:color="000000" w:sz="4" w:space="0"/>
              <w:bottom w:val="nil"/>
              <w:right w:val="single" w:color="000000" w:sz="4" w:space="0"/>
            </w:tcBorders>
            <w:shd w:val="clear" w:color="auto" w:fill="auto"/>
            <w:vAlign w:val="center"/>
          </w:tcPr>
          <w:p w14:paraId="0D55A343">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服务对象满意度</w:t>
            </w:r>
          </w:p>
        </w:tc>
        <w:tc>
          <w:tcPr>
            <w:tcW w:w="616" w:type="pct"/>
            <w:tcBorders>
              <w:top w:val="single" w:color="000000" w:sz="4" w:space="0"/>
              <w:left w:val="single" w:color="000000" w:sz="4" w:space="0"/>
              <w:bottom w:val="nil"/>
              <w:right w:val="single" w:color="000000" w:sz="4" w:space="0"/>
            </w:tcBorders>
            <w:shd w:val="clear" w:color="auto" w:fill="auto"/>
            <w:vAlign w:val="center"/>
          </w:tcPr>
          <w:p w14:paraId="2965091F">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锅炉压力容器与特种设备服务对象对检测结果的满意度</w:t>
            </w:r>
          </w:p>
        </w:tc>
        <w:tc>
          <w:tcPr>
            <w:tcW w:w="400" w:type="pct"/>
            <w:tcBorders>
              <w:top w:val="single" w:color="000000" w:sz="4" w:space="0"/>
              <w:left w:val="single" w:color="000000" w:sz="4" w:space="0"/>
              <w:bottom w:val="nil"/>
              <w:right w:val="single" w:color="000000" w:sz="4" w:space="0"/>
            </w:tcBorders>
            <w:shd w:val="clear" w:color="auto" w:fill="auto"/>
            <w:vAlign w:val="center"/>
          </w:tcPr>
          <w:p w14:paraId="241BC48D">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正向</w:t>
            </w:r>
          </w:p>
        </w:tc>
        <w:tc>
          <w:tcPr>
            <w:tcW w:w="486" w:type="pct"/>
            <w:tcBorders>
              <w:top w:val="single" w:color="000000" w:sz="4" w:space="0"/>
              <w:left w:val="single" w:color="000000" w:sz="4" w:space="0"/>
              <w:bottom w:val="nil"/>
              <w:right w:val="single" w:color="000000" w:sz="4" w:space="0"/>
            </w:tcBorders>
            <w:shd w:val="clear" w:color="auto" w:fill="auto"/>
            <w:vAlign w:val="center"/>
          </w:tcPr>
          <w:p w14:paraId="58502A57">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大于等于</w:t>
            </w:r>
          </w:p>
        </w:tc>
        <w:tc>
          <w:tcPr>
            <w:tcW w:w="451" w:type="pct"/>
            <w:tcBorders>
              <w:top w:val="single" w:color="000000" w:sz="4" w:space="0"/>
              <w:left w:val="single" w:color="000000" w:sz="4" w:space="0"/>
              <w:bottom w:val="nil"/>
              <w:right w:val="single" w:color="000000" w:sz="4" w:space="0"/>
            </w:tcBorders>
            <w:shd w:val="clear" w:color="auto" w:fill="auto"/>
            <w:vAlign w:val="center"/>
          </w:tcPr>
          <w:p w14:paraId="167532A2">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98</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29244154">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98</w:t>
            </w:r>
          </w:p>
        </w:tc>
        <w:tc>
          <w:tcPr>
            <w:tcW w:w="299" w:type="pct"/>
            <w:tcBorders>
              <w:top w:val="single" w:color="000000" w:sz="4" w:space="0"/>
              <w:left w:val="single" w:color="000000" w:sz="4" w:space="0"/>
              <w:bottom w:val="nil"/>
              <w:right w:val="single" w:color="000000" w:sz="4" w:space="0"/>
            </w:tcBorders>
            <w:shd w:val="clear" w:color="auto" w:fill="auto"/>
            <w:vAlign w:val="center"/>
          </w:tcPr>
          <w:p w14:paraId="6EEAEA23">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45252A83">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3DDCCFB6">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w:t>
            </w:r>
          </w:p>
        </w:tc>
        <w:tc>
          <w:tcPr>
            <w:tcW w:w="662" w:type="pct"/>
            <w:tcBorders>
              <w:top w:val="single" w:color="000000" w:sz="4" w:space="0"/>
              <w:left w:val="single" w:color="000000" w:sz="4" w:space="0"/>
              <w:bottom w:val="nil"/>
              <w:right w:val="single" w:color="000000" w:sz="4" w:space="0"/>
            </w:tcBorders>
            <w:shd w:val="clear" w:color="auto" w:fill="auto"/>
            <w:vAlign w:val="center"/>
          </w:tcPr>
          <w:p w14:paraId="5B195713">
            <w:pPr>
              <w:jc w:val="center"/>
              <w:rPr>
                <w:rFonts w:hint="eastAsia" w:ascii="宋体" w:hAnsi="宋体" w:cs="宋体"/>
                <w:color w:val="000000"/>
                <w:sz w:val="15"/>
                <w:szCs w:val="15"/>
              </w:rPr>
            </w:pPr>
          </w:p>
        </w:tc>
      </w:tr>
      <w:tr w14:paraId="5DE94C27">
        <w:tblPrEx>
          <w:tblCellMar>
            <w:top w:w="0" w:type="dxa"/>
            <w:left w:w="108" w:type="dxa"/>
            <w:bottom w:w="0" w:type="dxa"/>
            <w:right w:w="108" w:type="dxa"/>
          </w:tblCellMar>
        </w:tblPrEx>
        <w:trPr>
          <w:cantSplit/>
          <w:trHeight w:val="90" w:hRule="atLeast"/>
        </w:trPr>
        <w:tc>
          <w:tcPr>
            <w:tcW w:w="278" w:type="pct"/>
            <w:vMerge w:val="continue"/>
            <w:tcBorders>
              <w:top w:val="single" w:color="000000" w:sz="4" w:space="0"/>
              <w:left w:val="single" w:color="000000" w:sz="4" w:space="0"/>
              <w:bottom w:val="nil"/>
              <w:right w:val="single" w:color="000000" w:sz="4" w:space="0"/>
            </w:tcBorders>
            <w:shd w:val="clear" w:color="auto" w:fill="auto"/>
            <w:vAlign w:val="center"/>
          </w:tcPr>
          <w:p w14:paraId="6DE15039">
            <w:pPr>
              <w:jc w:val="center"/>
              <w:rPr>
                <w:rFonts w:hint="eastAsia" w:ascii="宋体" w:hAnsi="宋体" w:cs="宋体"/>
                <w:color w:val="000000"/>
                <w:sz w:val="15"/>
                <w:szCs w:val="15"/>
              </w:rPr>
            </w:pPr>
          </w:p>
        </w:tc>
        <w:tc>
          <w:tcPr>
            <w:tcW w:w="286" w:type="pct"/>
            <w:vMerge w:val="continue"/>
            <w:tcBorders>
              <w:top w:val="single" w:color="000000" w:sz="4" w:space="0"/>
              <w:left w:val="single" w:color="000000" w:sz="4" w:space="0"/>
              <w:bottom w:val="nil"/>
              <w:right w:val="single" w:color="000000" w:sz="4" w:space="0"/>
            </w:tcBorders>
            <w:shd w:val="clear" w:color="auto" w:fill="auto"/>
            <w:vAlign w:val="center"/>
          </w:tcPr>
          <w:p w14:paraId="77CF7D89">
            <w:pPr>
              <w:jc w:val="center"/>
              <w:rPr>
                <w:rFonts w:hint="eastAsia" w:ascii="宋体" w:hAnsi="宋体" w:cs="宋体"/>
                <w:color w:val="000000"/>
                <w:sz w:val="15"/>
                <w:szCs w:val="15"/>
              </w:rPr>
            </w:pPr>
          </w:p>
        </w:tc>
        <w:tc>
          <w:tcPr>
            <w:tcW w:w="412" w:type="pct"/>
            <w:vMerge w:val="continue"/>
            <w:tcBorders>
              <w:top w:val="single" w:color="000000" w:sz="4" w:space="0"/>
              <w:left w:val="single" w:color="000000" w:sz="4" w:space="0"/>
              <w:bottom w:val="nil"/>
              <w:right w:val="single" w:color="000000" w:sz="4" w:space="0"/>
            </w:tcBorders>
            <w:shd w:val="clear" w:color="auto" w:fill="auto"/>
            <w:vAlign w:val="center"/>
          </w:tcPr>
          <w:p w14:paraId="6E0FE116">
            <w:pPr>
              <w:jc w:val="center"/>
              <w:rPr>
                <w:rFonts w:hint="eastAsia" w:ascii="宋体" w:hAnsi="宋体" w:cs="宋体"/>
                <w:color w:val="000000"/>
                <w:sz w:val="15"/>
                <w:szCs w:val="15"/>
              </w:rPr>
            </w:pPr>
          </w:p>
        </w:tc>
        <w:tc>
          <w:tcPr>
            <w:tcW w:w="616" w:type="pct"/>
            <w:tcBorders>
              <w:top w:val="single" w:color="000000" w:sz="4" w:space="0"/>
              <w:left w:val="single" w:color="000000" w:sz="4" w:space="0"/>
              <w:bottom w:val="nil"/>
              <w:right w:val="single" w:color="000000" w:sz="4" w:space="0"/>
            </w:tcBorders>
            <w:shd w:val="clear" w:color="auto" w:fill="auto"/>
            <w:vAlign w:val="center"/>
          </w:tcPr>
          <w:p w14:paraId="723AED9E">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考试人员满意度</w:t>
            </w:r>
          </w:p>
        </w:tc>
        <w:tc>
          <w:tcPr>
            <w:tcW w:w="400" w:type="pct"/>
            <w:tcBorders>
              <w:top w:val="single" w:color="000000" w:sz="4" w:space="0"/>
              <w:left w:val="single" w:color="000000" w:sz="4" w:space="0"/>
              <w:bottom w:val="nil"/>
              <w:right w:val="single" w:color="000000" w:sz="4" w:space="0"/>
            </w:tcBorders>
            <w:shd w:val="clear" w:color="auto" w:fill="auto"/>
            <w:vAlign w:val="center"/>
          </w:tcPr>
          <w:p w14:paraId="59BAC480">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正向</w:t>
            </w:r>
          </w:p>
        </w:tc>
        <w:tc>
          <w:tcPr>
            <w:tcW w:w="486" w:type="pct"/>
            <w:tcBorders>
              <w:top w:val="single" w:color="000000" w:sz="4" w:space="0"/>
              <w:left w:val="single" w:color="000000" w:sz="4" w:space="0"/>
              <w:bottom w:val="nil"/>
              <w:right w:val="single" w:color="000000" w:sz="4" w:space="0"/>
            </w:tcBorders>
            <w:shd w:val="clear" w:color="auto" w:fill="auto"/>
            <w:vAlign w:val="center"/>
          </w:tcPr>
          <w:p w14:paraId="6D115750">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大于等于</w:t>
            </w:r>
          </w:p>
        </w:tc>
        <w:tc>
          <w:tcPr>
            <w:tcW w:w="451" w:type="pct"/>
            <w:tcBorders>
              <w:top w:val="single" w:color="000000" w:sz="4" w:space="0"/>
              <w:left w:val="single" w:color="000000" w:sz="4" w:space="0"/>
              <w:bottom w:val="nil"/>
              <w:right w:val="single" w:color="000000" w:sz="4" w:space="0"/>
            </w:tcBorders>
            <w:shd w:val="clear" w:color="auto" w:fill="auto"/>
            <w:vAlign w:val="center"/>
          </w:tcPr>
          <w:p w14:paraId="4D4F78B8">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98</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7CD710F8">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98</w:t>
            </w:r>
          </w:p>
        </w:tc>
        <w:tc>
          <w:tcPr>
            <w:tcW w:w="299" w:type="pct"/>
            <w:tcBorders>
              <w:top w:val="single" w:color="000000" w:sz="4" w:space="0"/>
              <w:left w:val="single" w:color="000000" w:sz="4" w:space="0"/>
              <w:bottom w:val="nil"/>
              <w:right w:val="single" w:color="000000" w:sz="4" w:space="0"/>
            </w:tcBorders>
            <w:shd w:val="clear" w:color="auto" w:fill="auto"/>
            <w:vAlign w:val="center"/>
          </w:tcPr>
          <w:p w14:paraId="61B2EA09">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27C9437F">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6F2F2C03">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w:t>
            </w:r>
          </w:p>
        </w:tc>
        <w:tc>
          <w:tcPr>
            <w:tcW w:w="662" w:type="pct"/>
            <w:tcBorders>
              <w:top w:val="single" w:color="000000" w:sz="4" w:space="0"/>
              <w:left w:val="single" w:color="000000" w:sz="4" w:space="0"/>
              <w:bottom w:val="nil"/>
              <w:right w:val="single" w:color="000000" w:sz="4" w:space="0"/>
            </w:tcBorders>
            <w:shd w:val="clear" w:color="auto" w:fill="auto"/>
            <w:vAlign w:val="center"/>
          </w:tcPr>
          <w:p w14:paraId="7FB856DD">
            <w:pPr>
              <w:jc w:val="center"/>
              <w:rPr>
                <w:rFonts w:hint="eastAsia" w:ascii="宋体" w:hAnsi="宋体" w:cs="宋体"/>
                <w:color w:val="000000"/>
                <w:sz w:val="15"/>
                <w:szCs w:val="15"/>
              </w:rPr>
            </w:pPr>
          </w:p>
        </w:tc>
      </w:tr>
      <w:tr w14:paraId="27D43E7E">
        <w:tblPrEx>
          <w:tblCellMar>
            <w:top w:w="0" w:type="dxa"/>
            <w:left w:w="108" w:type="dxa"/>
            <w:bottom w:w="0" w:type="dxa"/>
            <w:right w:w="108" w:type="dxa"/>
          </w:tblCellMar>
        </w:tblPrEx>
        <w:trPr>
          <w:cantSplit/>
          <w:trHeight w:val="90" w:hRule="atLeast"/>
        </w:trPr>
        <w:tc>
          <w:tcPr>
            <w:tcW w:w="363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A1B5559">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总分</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627B9">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ECFBB">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100</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40583">
            <w:pPr>
              <w:jc w:val="center"/>
              <w:rPr>
                <w:rFonts w:hint="eastAsia" w:ascii="宋体" w:hAnsi="宋体" w:cs="宋体"/>
                <w:color w:val="000000"/>
                <w:sz w:val="15"/>
                <w:szCs w:val="15"/>
              </w:rPr>
            </w:pPr>
          </w:p>
        </w:tc>
      </w:tr>
    </w:tbl>
    <w:p w14:paraId="146E41B1">
      <w:pPr>
        <w:widowControl/>
        <w:rPr>
          <w:kern w:val="0"/>
          <w:sz w:val="24"/>
        </w:rPr>
      </w:pPr>
    </w:p>
    <w:p w14:paraId="6B898083">
      <w:pPr>
        <w:widowControl/>
        <w:ind w:firstLine="540" w:firstLineChars="200"/>
        <w:rPr>
          <w:rFonts w:hint="eastAsia" w:ascii="宋体" w:hAnsi="宋体" w:cs="宋体"/>
          <w:kern w:val="0"/>
          <w:sz w:val="27"/>
          <w:szCs w:val="27"/>
        </w:rPr>
      </w:pPr>
      <w:r>
        <w:rPr>
          <w:rFonts w:hint="eastAsia" w:ascii="宋体" w:hAnsi="宋体" w:cs="宋体"/>
          <w:kern w:val="0"/>
          <w:sz w:val="27"/>
          <w:szCs w:val="27"/>
        </w:rPr>
        <w:t>2、事业单位经营支出项目自评综述：根据年初设定的绩效目标，项目自评得分</w:t>
      </w:r>
      <w:r>
        <w:rPr>
          <w:rFonts w:hint="eastAsia" w:ascii="宋体" w:hAnsi="宋体" w:cs="宋体"/>
          <w:kern w:val="0"/>
          <w:sz w:val="27"/>
          <w:szCs w:val="27"/>
          <w:u w:val="single"/>
        </w:rPr>
        <w:t xml:space="preserve"> 99.88</w:t>
      </w:r>
      <w:r>
        <w:rPr>
          <w:rFonts w:hint="eastAsia" w:ascii="宋体" w:hAnsi="宋体" w:cs="宋体"/>
          <w:kern w:val="0"/>
          <w:sz w:val="27"/>
          <w:szCs w:val="27"/>
        </w:rPr>
        <w:t>分。全年预算数为</w:t>
      </w:r>
      <w:r>
        <w:rPr>
          <w:rFonts w:hint="eastAsia" w:ascii="宋体" w:hAnsi="宋体" w:cs="宋体"/>
          <w:kern w:val="0"/>
          <w:sz w:val="27"/>
          <w:szCs w:val="27"/>
          <w:u w:val="single"/>
        </w:rPr>
        <w:t xml:space="preserve"> 1028.66</w:t>
      </w:r>
      <w:r>
        <w:rPr>
          <w:rFonts w:hint="eastAsia" w:ascii="宋体" w:hAnsi="宋体" w:cs="宋体"/>
          <w:kern w:val="0"/>
          <w:sz w:val="27"/>
          <w:szCs w:val="27"/>
        </w:rPr>
        <w:t>万元，执行数为</w:t>
      </w:r>
      <w:r>
        <w:rPr>
          <w:rFonts w:hint="eastAsia" w:ascii="宋体" w:hAnsi="宋体" w:cs="宋体"/>
          <w:kern w:val="0"/>
          <w:sz w:val="27"/>
          <w:szCs w:val="27"/>
          <w:u w:val="single"/>
        </w:rPr>
        <w:t xml:space="preserve">  1028.66</w:t>
      </w:r>
      <w:r>
        <w:rPr>
          <w:rFonts w:hint="eastAsia" w:ascii="宋体" w:hAnsi="宋体" w:cs="宋体"/>
          <w:kern w:val="0"/>
          <w:sz w:val="27"/>
          <w:szCs w:val="27"/>
        </w:rPr>
        <w:t>万元，完成预算的</w:t>
      </w:r>
      <w:r>
        <w:rPr>
          <w:rFonts w:hint="eastAsia" w:ascii="宋体" w:hAnsi="宋体" w:cs="宋体"/>
          <w:kern w:val="0"/>
          <w:sz w:val="27"/>
          <w:szCs w:val="27"/>
          <w:u w:val="single"/>
        </w:rPr>
        <w:t xml:space="preserve"> 100 </w:t>
      </w:r>
      <w:r>
        <w:rPr>
          <w:rFonts w:hint="eastAsia" w:ascii="宋体" w:hAnsi="宋体" w:cs="宋体"/>
          <w:kern w:val="0"/>
          <w:sz w:val="27"/>
          <w:szCs w:val="27"/>
        </w:rPr>
        <w:t>%。</w:t>
      </w:r>
    </w:p>
    <w:p w14:paraId="15141ECC">
      <w:pPr>
        <w:widowControl/>
        <w:ind w:firstLine="540" w:firstLineChars="200"/>
        <w:rPr>
          <w:rFonts w:ascii="宋体" w:hAnsi="宋体" w:cs="宋体"/>
          <w:kern w:val="0"/>
          <w:sz w:val="27"/>
          <w:szCs w:val="27"/>
        </w:rPr>
      </w:pPr>
      <w:r>
        <w:rPr>
          <w:rFonts w:hint="eastAsia" w:ascii="宋体" w:hAnsi="宋体" w:cs="宋体"/>
          <w:kern w:val="0"/>
          <w:sz w:val="27"/>
          <w:szCs w:val="27"/>
        </w:rPr>
        <w:t>项目绩效目标完成情况：2023年全年，我分院收取经营收入共1720.84万元，达到预算数的112.95%。1.共完成各类特种设备定期检验33356台/只，其中：电梯3778台；</w:t>
      </w:r>
      <w:r>
        <w:rPr>
          <w:rFonts w:ascii="宋体" w:hAnsi="宋体" w:cs="宋体"/>
          <w:kern w:val="0"/>
          <w:sz w:val="27"/>
          <w:szCs w:val="27"/>
        </w:rPr>
        <w:t>气瓶包括车载气瓶</w:t>
      </w:r>
      <w:r>
        <w:rPr>
          <w:rFonts w:hint="eastAsia" w:ascii="宋体" w:hAnsi="宋体" w:cs="宋体"/>
          <w:kern w:val="0"/>
          <w:sz w:val="27"/>
          <w:szCs w:val="27"/>
        </w:rPr>
        <w:t>20107只；安全阀9471只。2.共完成各类特种设备委托检验687台，其中：压力容器687台。完成压力管道委托检验116.9公里。检测区域覆盖率达到100%，检测报告出具率达到100%，检测报告合格率达到98%，服务对象对检测结果的满意度大于等于98%。</w:t>
      </w:r>
    </w:p>
    <w:p w14:paraId="54DB358F">
      <w:pPr>
        <w:widowControl/>
        <w:ind w:firstLine="540" w:firstLineChars="200"/>
        <w:rPr>
          <w:rFonts w:hint="eastAsia" w:ascii="宋体" w:hAnsi="宋体" w:cs="宋体"/>
          <w:kern w:val="0"/>
          <w:sz w:val="27"/>
          <w:szCs w:val="27"/>
        </w:rPr>
      </w:pPr>
      <w:r>
        <w:rPr>
          <w:rFonts w:hint="eastAsia" w:ascii="宋体" w:hAnsi="宋体" w:cs="宋体"/>
          <w:kern w:val="0"/>
          <w:sz w:val="27"/>
          <w:szCs w:val="27"/>
        </w:rPr>
        <w:t>发现的主要问题及原因：预算编制与政府工作安排时间不同步，即预算申报时间在前，重点工作任务安排在后，导致预算资金与工作安排匹配程度较低。预算编制与政府工作安排时间不同步，即预算申报时间在前，重点工作任务安排在后，导致预算资金与工作安排匹配程度较低。</w:t>
      </w:r>
    </w:p>
    <w:p w14:paraId="6C35EB1C">
      <w:pPr>
        <w:widowControl/>
        <w:ind w:firstLine="540" w:firstLineChars="200"/>
        <w:rPr>
          <w:rFonts w:ascii="宋体" w:hAnsi="宋体" w:cs="宋体"/>
          <w:kern w:val="0"/>
          <w:sz w:val="27"/>
          <w:szCs w:val="27"/>
        </w:rPr>
      </w:pPr>
      <w:r>
        <w:rPr>
          <w:rFonts w:hint="eastAsia" w:ascii="宋体" w:hAnsi="宋体" w:cs="宋体"/>
          <w:kern w:val="0"/>
          <w:sz w:val="27"/>
          <w:szCs w:val="27"/>
        </w:rPr>
        <w:t>下一步改进措施：</w:t>
      </w:r>
      <w:r>
        <w:rPr>
          <w:rFonts w:ascii="宋体" w:hAnsi="宋体" w:cs="宋体"/>
          <w:kern w:val="0"/>
          <w:sz w:val="27"/>
          <w:szCs w:val="27"/>
        </w:rPr>
        <w:t>在绩效目标评价工作方面，</w:t>
      </w:r>
      <w:r>
        <w:rPr>
          <w:rFonts w:hint="eastAsia" w:ascii="宋体" w:hAnsi="宋体" w:cs="宋体"/>
          <w:kern w:val="0"/>
          <w:sz w:val="27"/>
          <w:szCs w:val="27"/>
        </w:rPr>
        <w:t>我单位</w:t>
      </w:r>
      <w:r>
        <w:rPr>
          <w:rFonts w:ascii="宋体" w:hAnsi="宋体" w:cs="宋体"/>
          <w:kern w:val="0"/>
          <w:sz w:val="27"/>
          <w:szCs w:val="27"/>
        </w:rPr>
        <w:t>将不断完善指标设置、改进考核评估方法，使评价工作更加合理、更加有效；用事后监督促进事前管理，进一步确保资金落到实处、起到实效。我</w:t>
      </w:r>
      <w:r>
        <w:rPr>
          <w:rFonts w:hint="eastAsia" w:ascii="宋体" w:hAnsi="宋体" w:cs="宋体"/>
          <w:kern w:val="0"/>
          <w:sz w:val="27"/>
          <w:szCs w:val="27"/>
        </w:rPr>
        <w:t>单位</w:t>
      </w:r>
      <w:r>
        <w:rPr>
          <w:rFonts w:ascii="宋体" w:hAnsi="宋体" w:cs="宋体"/>
          <w:kern w:val="0"/>
          <w:sz w:val="27"/>
          <w:szCs w:val="27"/>
        </w:rPr>
        <w:t>也将借助财政提供的学习培训机会，加大对参与绩效评价人员的培训力度，充实业务知识，发挥绩效评价的应用作用，对绩效目标运行情况进行跟踪管理和督促检查，纠偏扬长，促进绩效目标的顺利实现。</w:t>
      </w:r>
    </w:p>
    <w:p w14:paraId="37C58C3F">
      <w:pPr>
        <w:widowControl/>
        <w:ind w:firstLine="540" w:firstLineChars="200"/>
        <w:rPr>
          <w:rFonts w:ascii="宋体" w:hAnsi="宋体" w:cs="宋体"/>
          <w:kern w:val="0"/>
          <w:sz w:val="27"/>
          <w:szCs w:val="27"/>
        </w:rPr>
      </w:pPr>
    </w:p>
    <w:tbl>
      <w:tblPr>
        <w:tblStyle w:val="18"/>
        <w:tblW w:w="0" w:type="auto"/>
        <w:tblInd w:w="113" w:type="dxa"/>
        <w:tblLayout w:type="autofit"/>
        <w:tblCellMar>
          <w:top w:w="0" w:type="dxa"/>
          <w:left w:w="108" w:type="dxa"/>
          <w:bottom w:w="0" w:type="dxa"/>
          <w:right w:w="108" w:type="dxa"/>
        </w:tblCellMar>
      </w:tblPr>
      <w:tblGrid>
        <w:gridCol w:w="421"/>
        <w:gridCol w:w="429"/>
        <w:gridCol w:w="703"/>
        <w:gridCol w:w="1224"/>
        <w:gridCol w:w="508"/>
        <w:gridCol w:w="494"/>
        <w:gridCol w:w="666"/>
        <w:gridCol w:w="907"/>
        <w:gridCol w:w="805"/>
        <w:gridCol w:w="515"/>
        <w:gridCol w:w="695"/>
        <w:gridCol w:w="1762"/>
      </w:tblGrid>
      <w:tr w14:paraId="7EF1789A">
        <w:tblPrEx>
          <w:tblCellMar>
            <w:top w:w="0" w:type="dxa"/>
            <w:left w:w="108" w:type="dxa"/>
            <w:bottom w:w="0" w:type="dxa"/>
            <w:right w:w="108" w:type="dxa"/>
          </w:tblCellMar>
        </w:tblPrEx>
        <w:trPr>
          <w:trHeight w:val="1260" w:hRule="atLeast"/>
        </w:trPr>
        <w:tc>
          <w:tcPr>
            <w:tcW w:w="0" w:type="auto"/>
            <w:gridSpan w:val="12"/>
            <w:tcBorders>
              <w:top w:val="single" w:color="auto" w:sz="4" w:space="0"/>
              <w:left w:val="single" w:color="auto" w:sz="4" w:space="0"/>
              <w:bottom w:val="single" w:color="auto" w:sz="4" w:space="0"/>
              <w:right w:val="single" w:color="auto" w:sz="4" w:space="0"/>
            </w:tcBorders>
            <w:shd w:val="clear" w:color="auto" w:fill="auto"/>
            <w:vAlign w:val="center"/>
          </w:tcPr>
          <w:p w14:paraId="57840645">
            <w:pPr>
              <w:widowControl/>
              <w:jc w:val="center"/>
              <w:rPr>
                <w:rFonts w:ascii="宋体" w:hAnsi="宋体" w:cs="宋体"/>
                <w:b/>
                <w:bCs/>
                <w:color w:val="000000"/>
                <w:kern w:val="0"/>
                <w:sz w:val="40"/>
                <w:szCs w:val="40"/>
              </w:rPr>
            </w:pPr>
            <w:r>
              <w:rPr>
                <w:rFonts w:hint="eastAsia" w:ascii="宋体" w:hAnsi="宋体" w:cs="宋体"/>
                <w:b/>
                <w:bCs/>
                <w:color w:val="000000"/>
                <w:kern w:val="0"/>
                <w:sz w:val="40"/>
                <w:szCs w:val="40"/>
              </w:rPr>
              <w:t>项目支出绩效自评表</w:t>
            </w:r>
            <w:r>
              <w:rPr>
                <w:rFonts w:hint="eastAsia" w:ascii="宋体" w:hAnsi="宋体" w:cs="宋体"/>
                <w:b/>
                <w:bCs/>
                <w:color w:val="000000"/>
                <w:kern w:val="0"/>
                <w:sz w:val="40"/>
                <w:szCs w:val="40"/>
              </w:rPr>
              <w:br w:type="textWrapping"/>
            </w:r>
            <w:r>
              <w:rPr>
                <w:rFonts w:hint="eastAsia" w:ascii="宋体" w:hAnsi="宋体" w:cs="宋体"/>
                <w:b/>
                <w:bCs/>
                <w:color w:val="000000"/>
                <w:kern w:val="0"/>
                <w:sz w:val="40"/>
                <w:szCs w:val="40"/>
              </w:rPr>
              <w:t>(2023年度）</w:t>
            </w:r>
          </w:p>
        </w:tc>
      </w:tr>
      <w:tr w14:paraId="6783AB8D">
        <w:tblPrEx>
          <w:tblCellMar>
            <w:top w:w="0" w:type="dxa"/>
            <w:left w:w="108" w:type="dxa"/>
            <w:bottom w:w="0" w:type="dxa"/>
            <w:right w:w="108" w:type="dxa"/>
          </w:tblCellMar>
        </w:tblPrEx>
        <w:trPr>
          <w:trHeight w:val="379"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ACAF99">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项目名称</w:t>
            </w:r>
          </w:p>
        </w:tc>
        <w:tc>
          <w:tcPr>
            <w:tcW w:w="0" w:type="auto"/>
            <w:gridSpan w:val="10"/>
            <w:tcBorders>
              <w:top w:val="single" w:color="auto" w:sz="4" w:space="0"/>
              <w:left w:val="nil"/>
              <w:bottom w:val="single" w:color="auto" w:sz="4" w:space="0"/>
              <w:right w:val="single" w:color="auto" w:sz="4" w:space="0"/>
            </w:tcBorders>
            <w:shd w:val="clear" w:color="auto" w:fill="auto"/>
            <w:vAlign w:val="center"/>
          </w:tcPr>
          <w:p w14:paraId="4BD9399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事业单位经营支出</w:t>
            </w:r>
          </w:p>
        </w:tc>
      </w:tr>
      <w:tr w14:paraId="221FD924">
        <w:tblPrEx>
          <w:tblCellMar>
            <w:top w:w="0" w:type="dxa"/>
            <w:left w:w="108" w:type="dxa"/>
            <w:bottom w:w="0" w:type="dxa"/>
            <w:right w:w="108" w:type="dxa"/>
          </w:tblCellMar>
        </w:tblPrEx>
        <w:trPr>
          <w:trHeight w:val="379"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591B8F">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主管部门</w:t>
            </w:r>
          </w:p>
        </w:tc>
        <w:tc>
          <w:tcPr>
            <w:tcW w:w="0" w:type="auto"/>
            <w:gridSpan w:val="4"/>
            <w:tcBorders>
              <w:top w:val="single" w:color="auto" w:sz="4" w:space="0"/>
              <w:left w:val="nil"/>
              <w:bottom w:val="single" w:color="auto" w:sz="4" w:space="0"/>
              <w:right w:val="single" w:color="auto" w:sz="4" w:space="0"/>
            </w:tcBorders>
            <w:shd w:val="clear" w:color="auto" w:fill="auto"/>
            <w:vAlign w:val="center"/>
          </w:tcPr>
          <w:p w14:paraId="128326E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内蒙古自治区市场监督管理局部门</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4C781940">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实施单位</w:t>
            </w:r>
          </w:p>
        </w:tc>
        <w:tc>
          <w:tcPr>
            <w:tcW w:w="0" w:type="auto"/>
            <w:gridSpan w:val="4"/>
            <w:tcBorders>
              <w:top w:val="single" w:color="auto" w:sz="4" w:space="0"/>
              <w:left w:val="nil"/>
              <w:bottom w:val="single" w:color="auto" w:sz="4" w:space="0"/>
              <w:right w:val="single" w:color="auto" w:sz="4" w:space="0"/>
            </w:tcBorders>
            <w:shd w:val="clear" w:color="auto" w:fill="auto"/>
            <w:vAlign w:val="center"/>
          </w:tcPr>
          <w:p w14:paraId="366D81F8">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内蒙古自治区特种设备检验研究院巴彦淖尔分院</w:t>
            </w:r>
          </w:p>
        </w:tc>
      </w:tr>
      <w:tr w14:paraId="4876FFEF">
        <w:tblPrEx>
          <w:tblCellMar>
            <w:top w:w="0" w:type="dxa"/>
            <w:left w:w="108" w:type="dxa"/>
            <w:bottom w:w="0" w:type="dxa"/>
            <w:right w:w="108" w:type="dxa"/>
          </w:tblCellMar>
        </w:tblPrEx>
        <w:trPr>
          <w:trHeight w:val="379" w:hRule="atLeast"/>
        </w:trPr>
        <w:tc>
          <w:tcPr>
            <w:tcW w:w="0" w:type="auto"/>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ADA0FF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项目资金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（万元）</w:t>
            </w:r>
          </w:p>
        </w:tc>
        <w:tc>
          <w:tcPr>
            <w:tcW w:w="0" w:type="auto"/>
            <w:tcBorders>
              <w:top w:val="nil"/>
              <w:left w:val="nil"/>
              <w:bottom w:val="single" w:color="auto" w:sz="4" w:space="0"/>
              <w:right w:val="single" w:color="auto" w:sz="4" w:space="0"/>
            </w:tcBorders>
            <w:shd w:val="clear" w:color="auto" w:fill="auto"/>
            <w:vAlign w:val="center"/>
          </w:tcPr>
          <w:p w14:paraId="5AA296E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14:paraId="2A83C32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年初预算数</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1BE39C7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全年预算数</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05F5880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全年执行数</w:t>
            </w:r>
          </w:p>
        </w:tc>
        <w:tc>
          <w:tcPr>
            <w:tcW w:w="0" w:type="auto"/>
            <w:tcBorders>
              <w:top w:val="nil"/>
              <w:left w:val="nil"/>
              <w:bottom w:val="single" w:color="auto" w:sz="4" w:space="0"/>
              <w:right w:val="single" w:color="auto" w:sz="4" w:space="0"/>
            </w:tcBorders>
            <w:shd w:val="clear" w:color="auto" w:fill="auto"/>
            <w:vAlign w:val="center"/>
          </w:tcPr>
          <w:p w14:paraId="376F1F8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分值</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3D19220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执行率（%）</w:t>
            </w:r>
          </w:p>
        </w:tc>
        <w:tc>
          <w:tcPr>
            <w:tcW w:w="0" w:type="auto"/>
            <w:tcBorders>
              <w:top w:val="nil"/>
              <w:left w:val="nil"/>
              <w:bottom w:val="single" w:color="auto" w:sz="4" w:space="0"/>
              <w:right w:val="single" w:color="auto" w:sz="4" w:space="0"/>
            </w:tcBorders>
            <w:shd w:val="clear" w:color="auto" w:fill="auto"/>
            <w:vAlign w:val="center"/>
          </w:tcPr>
          <w:p w14:paraId="083A87C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得分</w:t>
            </w:r>
          </w:p>
        </w:tc>
      </w:tr>
      <w:tr w14:paraId="76BCD61C">
        <w:tblPrEx>
          <w:tblCellMar>
            <w:top w:w="0" w:type="dxa"/>
            <w:left w:w="108" w:type="dxa"/>
            <w:bottom w:w="0" w:type="dxa"/>
            <w:right w:w="108" w:type="dxa"/>
          </w:tblCellMar>
        </w:tblPrEx>
        <w:trPr>
          <w:trHeight w:val="379" w:hRule="atLeast"/>
        </w:trPr>
        <w:tc>
          <w:tcPr>
            <w:tcW w:w="0" w:type="auto"/>
            <w:gridSpan w:val="2"/>
            <w:vMerge w:val="continue"/>
            <w:tcBorders>
              <w:top w:val="single" w:color="auto" w:sz="4" w:space="0"/>
              <w:left w:val="single" w:color="auto" w:sz="4" w:space="0"/>
              <w:bottom w:val="single" w:color="000000" w:sz="4" w:space="0"/>
              <w:right w:val="single" w:color="000000" w:sz="4" w:space="0"/>
            </w:tcBorders>
            <w:vAlign w:val="center"/>
          </w:tcPr>
          <w:p w14:paraId="1845413A">
            <w:pPr>
              <w:widowControl/>
              <w:jc w:val="left"/>
              <w:rPr>
                <w:rFonts w:ascii="宋体" w:hAnsi="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14:paraId="33E419E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年度资金总额</w:t>
            </w:r>
          </w:p>
        </w:tc>
        <w:tc>
          <w:tcPr>
            <w:tcW w:w="0" w:type="auto"/>
            <w:tcBorders>
              <w:top w:val="nil"/>
              <w:left w:val="nil"/>
              <w:bottom w:val="single" w:color="auto" w:sz="4" w:space="0"/>
              <w:right w:val="single" w:color="auto" w:sz="4" w:space="0"/>
            </w:tcBorders>
            <w:shd w:val="clear" w:color="auto" w:fill="auto"/>
            <w:vAlign w:val="center"/>
          </w:tcPr>
          <w:p w14:paraId="50C25F8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1360.00</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4BD68E4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1028.66</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011C753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1028.66</w:t>
            </w:r>
          </w:p>
        </w:tc>
        <w:tc>
          <w:tcPr>
            <w:tcW w:w="0" w:type="auto"/>
            <w:tcBorders>
              <w:top w:val="nil"/>
              <w:left w:val="nil"/>
              <w:bottom w:val="single" w:color="auto" w:sz="4" w:space="0"/>
              <w:right w:val="single" w:color="auto" w:sz="4" w:space="0"/>
            </w:tcBorders>
            <w:shd w:val="clear" w:color="auto" w:fill="auto"/>
            <w:vAlign w:val="center"/>
          </w:tcPr>
          <w:p w14:paraId="3BCA50E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5B8F243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100.00</w:t>
            </w:r>
          </w:p>
        </w:tc>
        <w:tc>
          <w:tcPr>
            <w:tcW w:w="0" w:type="auto"/>
            <w:tcBorders>
              <w:top w:val="nil"/>
              <w:left w:val="nil"/>
              <w:bottom w:val="single" w:color="auto" w:sz="4" w:space="0"/>
              <w:right w:val="single" w:color="auto" w:sz="4" w:space="0"/>
            </w:tcBorders>
            <w:shd w:val="clear" w:color="auto" w:fill="auto"/>
            <w:vAlign w:val="center"/>
          </w:tcPr>
          <w:p w14:paraId="1D6CEC9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r>
      <w:tr w14:paraId="3F78D5B6">
        <w:tblPrEx>
          <w:tblCellMar>
            <w:top w:w="0" w:type="dxa"/>
            <w:left w:w="108" w:type="dxa"/>
            <w:bottom w:w="0" w:type="dxa"/>
            <w:right w:w="108" w:type="dxa"/>
          </w:tblCellMar>
        </w:tblPrEx>
        <w:trPr>
          <w:trHeight w:val="379" w:hRule="atLeast"/>
        </w:trPr>
        <w:tc>
          <w:tcPr>
            <w:tcW w:w="0" w:type="auto"/>
            <w:gridSpan w:val="2"/>
            <w:vMerge w:val="continue"/>
            <w:tcBorders>
              <w:top w:val="single" w:color="auto" w:sz="4" w:space="0"/>
              <w:left w:val="single" w:color="auto" w:sz="4" w:space="0"/>
              <w:bottom w:val="single" w:color="000000" w:sz="4" w:space="0"/>
              <w:right w:val="single" w:color="000000" w:sz="4" w:space="0"/>
            </w:tcBorders>
            <w:vAlign w:val="center"/>
          </w:tcPr>
          <w:p w14:paraId="456EE309">
            <w:pPr>
              <w:widowControl/>
              <w:jc w:val="left"/>
              <w:rPr>
                <w:rFonts w:ascii="宋体" w:hAnsi="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14:paraId="4A08BBA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其中：财政拨款</w:t>
            </w:r>
          </w:p>
        </w:tc>
        <w:tc>
          <w:tcPr>
            <w:tcW w:w="0" w:type="auto"/>
            <w:tcBorders>
              <w:top w:val="nil"/>
              <w:left w:val="nil"/>
              <w:bottom w:val="single" w:color="auto" w:sz="4" w:space="0"/>
              <w:right w:val="single" w:color="auto" w:sz="4" w:space="0"/>
            </w:tcBorders>
            <w:shd w:val="clear" w:color="auto" w:fill="auto"/>
            <w:vAlign w:val="center"/>
          </w:tcPr>
          <w:p w14:paraId="4C13679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1F79934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1613BD9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0" w:type="auto"/>
            <w:tcBorders>
              <w:top w:val="nil"/>
              <w:left w:val="nil"/>
              <w:bottom w:val="single" w:color="auto" w:sz="4" w:space="0"/>
              <w:right w:val="single" w:color="auto" w:sz="4" w:space="0"/>
            </w:tcBorders>
            <w:shd w:val="clear" w:color="auto" w:fill="auto"/>
            <w:noWrap/>
            <w:vAlign w:val="center"/>
          </w:tcPr>
          <w:p w14:paraId="0E5D4FE8">
            <w:pPr>
              <w:widowControl/>
              <w:jc w:val="center"/>
              <w:rPr>
                <w:rFonts w:hint="eastAsia" w:ascii="Arial" w:hAnsi="Arial" w:cs="Arial"/>
                <w:color w:val="222222"/>
                <w:kern w:val="0"/>
                <w:sz w:val="20"/>
                <w:szCs w:val="20"/>
              </w:rPr>
            </w:pPr>
            <w:r>
              <w:rPr>
                <w:rFonts w:ascii="Arial" w:hAnsi="Arial" w:cs="Arial"/>
                <w:color w:val="222222"/>
                <w:kern w:val="0"/>
                <w:sz w:val="20"/>
                <w:szCs w:val="20"/>
              </w:rPr>
              <w:t>——</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2CCF2909">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0" w:type="auto"/>
            <w:tcBorders>
              <w:top w:val="nil"/>
              <w:left w:val="nil"/>
              <w:bottom w:val="single" w:color="auto" w:sz="4" w:space="0"/>
              <w:right w:val="single" w:color="auto" w:sz="4" w:space="0"/>
            </w:tcBorders>
            <w:shd w:val="clear" w:color="auto" w:fill="auto"/>
            <w:noWrap/>
            <w:vAlign w:val="center"/>
          </w:tcPr>
          <w:p w14:paraId="22660920">
            <w:pPr>
              <w:widowControl/>
              <w:jc w:val="center"/>
              <w:rPr>
                <w:rFonts w:hint="eastAsia" w:ascii="Arial" w:hAnsi="Arial" w:cs="Arial"/>
                <w:color w:val="222222"/>
                <w:kern w:val="0"/>
                <w:sz w:val="20"/>
                <w:szCs w:val="20"/>
              </w:rPr>
            </w:pPr>
            <w:r>
              <w:rPr>
                <w:rFonts w:ascii="Arial" w:hAnsi="Arial" w:cs="Arial"/>
                <w:color w:val="222222"/>
                <w:kern w:val="0"/>
                <w:sz w:val="20"/>
                <w:szCs w:val="20"/>
              </w:rPr>
              <w:t>——</w:t>
            </w:r>
          </w:p>
        </w:tc>
      </w:tr>
      <w:tr w14:paraId="15E8393F">
        <w:tblPrEx>
          <w:tblCellMar>
            <w:top w:w="0" w:type="dxa"/>
            <w:left w:w="108" w:type="dxa"/>
            <w:bottom w:w="0" w:type="dxa"/>
            <w:right w:w="108" w:type="dxa"/>
          </w:tblCellMar>
        </w:tblPrEx>
        <w:trPr>
          <w:trHeight w:val="379" w:hRule="atLeast"/>
        </w:trPr>
        <w:tc>
          <w:tcPr>
            <w:tcW w:w="0" w:type="auto"/>
            <w:gridSpan w:val="2"/>
            <w:vMerge w:val="continue"/>
            <w:tcBorders>
              <w:top w:val="single" w:color="auto" w:sz="4" w:space="0"/>
              <w:left w:val="single" w:color="auto" w:sz="4" w:space="0"/>
              <w:bottom w:val="single" w:color="000000" w:sz="4" w:space="0"/>
              <w:right w:val="single" w:color="000000" w:sz="4" w:space="0"/>
            </w:tcBorders>
            <w:vAlign w:val="center"/>
          </w:tcPr>
          <w:p w14:paraId="19AB6CBA">
            <w:pPr>
              <w:widowControl/>
              <w:jc w:val="left"/>
              <w:rPr>
                <w:rFonts w:ascii="宋体" w:hAnsi="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14:paraId="6076EB98">
            <w:pPr>
              <w:widowControl/>
              <w:jc w:val="center"/>
              <w:rPr>
                <w:rFonts w:ascii="宋体" w:hAnsi="宋体" w:cs="宋体"/>
                <w:color w:val="000000"/>
                <w:kern w:val="0"/>
                <w:sz w:val="18"/>
                <w:szCs w:val="18"/>
              </w:rPr>
            </w:pPr>
            <w:r>
              <w:rPr>
                <w:rFonts w:hint="eastAsia" w:ascii="宋体" w:hAnsi="宋体" w:cs="宋体"/>
                <w:color w:val="000000"/>
                <w:kern w:val="0"/>
                <w:sz w:val="18"/>
                <w:szCs w:val="18"/>
              </w:rPr>
              <w:t>上年结转资金</w:t>
            </w:r>
          </w:p>
        </w:tc>
        <w:tc>
          <w:tcPr>
            <w:tcW w:w="0" w:type="auto"/>
            <w:tcBorders>
              <w:top w:val="nil"/>
              <w:left w:val="nil"/>
              <w:bottom w:val="single" w:color="auto" w:sz="4" w:space="0"/>
              <w:right w:val="single" w:color="auto" w:sz="4" w:space="0"/>
            </w:tcBorders>
            <w:shd w:val="clear" w:color="auto" w:fill="auto"/>
            <w:vAlign w:val="center"/>
          </w:tcPr>
          <w:p w14:paraId="4D38FFC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1EB891A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29B8041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0" w:type="auto"/>
            <w:tcBorders>
              <w:top w:val="nil"/>
              <w:left w:val="nil"/>
              <w:bottom w:val="single" w:color="auto" w:sz="4" w:space="0"/>
              <w:right w:val="single" w:color="auto" w:sz="4" w:space="0"/>
            </w:tcBorders>
            <w:shd w:val="clear" w:color="auto" w:fill="auto"/>
            <w:noWrap/>
            <w:vAlign w:val="center"/>
          </w:tcPr>
          <w:p w14:paraId="1381B316">
            <w:pPr>
              <w:widowControl/>
              <w:jc w:val="center"/>
              <w:rPr>
                <w:rFonts w:hint="eastAsia" w:ascii="Arial" w:hAnsi="Arial" w:cs="Arial"/>
                <w:color w:val="222222"/>
                <w:kern w:val="0"/>
                <w:sz w:val="20"/>
                <w:szCs w:val="20"/>
              </w:rPr>
            </w:pPr>
            <w:r>
              <w:rPr>
                <w:rFonts w:ascii="Arial" w:hAnsi="Arial" w:cs="Arial"/>
                <w:color w:val="222222"/>
                <w:kern w:val="0"/>
                <w:sz w:val="20"/>
                <w:szCs w:val="20"/>
              </w:rPr>
              <w:t>——</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71C00677">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0" w:type="auto"/>
            <w:tcBorders>
              <w:top w:val="nil"/>
              <w:left w:val="nil"/>
              <w:bottom w:val="single" w:color="auto" w:sz="4" w:space="0"/>
              <w:right w:val="single" w:color="auto" w:sz="4" w:space="0"/>
            </w:tcBorders>
            <w:shd w:val="clear" w:color="auto" w:fill="auto"/>
            <w:noWrap/>
            <w:vAlign w:val="center"/>
          </w:tcPr>
          <w:p w14:paraId="6EC4FB43">
            <w:pPr>
              <w:widowControl/>
              <w:jc w:val="center"/>
              <w:rPr>
                <w:rFonts w:hint="eastAsia" w:ascii="Arial" w:hAnsi="Arial" w:cs="Arial"/>
                <w:color w:val="222222"/>
                <w:kern w:val="0"/>
                <w:sz w:val="20"/>
                <w:szCs w:val="20"/>
              </w:rPr>
            </w:pPr>
            <w:r>
              <w:rPr>
                <w:rFonts w:ascii="Arial" w:hAnsi="Arial" w:cs="Arial"/>
                <w:color w:val="222222"/>
                <w:kern w:val="0"/>
                <w:sz w:val="20"/>
                <w:szCs w:val="20"/>
              </w:rPr>
              <w:t>——</w:t>
            </w:r>
          </w:p>
        </w:tc>
      </w:tr>
      <w:tr w14:paraId="429E4195">
        <w:tblPrEx>
          <w:tblCellMar>
            <w:top w:w="0" w:type="dxa"/>
            <w:left w:w="108" w:type="dxa"/>
            <w:bottom w:w="0" w:type="dxa"/>
            <w:right w:w="108" w:type="dxa"/>
          </w:tblCellMar>
        </w:tblPrEx>
        <w:trPr>
          <w:trHeight w:val="379" w:hRule="atLeast"/>
        </w:trPr>
        <w:tc>
          <w:tcPr>
            <w:tcW w:w="0" w:type="auto"/>
            <w:gridSpan w:val="2"/>
            <w:vMerge w:val="continue"/>
            <w:tcBorders>
              <w:top w:val="single" w:color="auto" w:sz="4" w:space="0"/>
              <w:left w:val="single" w:color="auto" w:sz="4" w:space="0"/>
              <w:bottom w:val="single" w:color="000000" w:sz="4" w:space="0"/>
              <w:right w:val="single" w:color="000000" w:sz="4" w:space="0"/>
            </w:tcBorders>
            <w:vAlign w:val="center"/>
          </w:tcPr>
          <w:p w14:paraId="08E8DBC4">
            <w:pPr>
              <w:widowControl/>
              <w:jc w:val="left"/>
              <w:rPr>
                <w:rFonts w:ascii="宋体" w:hAnsi="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14:paraId="68439251">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0" w:type="auto"/>
            <w:tcBorders>
              <w:top w:val="nil"/>
              <w:left w:val="nil"/>
              <w:bottom w:val="single" w:color="auto" w:sz="4" w:space="0"/>
              <w:right w:val="single" w:color="auto" w:sz="4" w:space="0"/>
            </w:tcBorders>
            <w:shd w:val="clear" w:color="auto" w:fill="auto"/>
            <w:vAlign w:val="center"/>
          </w:tcPr>
          <w:p w14:paraId="03511C6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1360.00</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59BB28E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1028.66</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7C1D1A6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1028.66</w:t>
            </w:r>
          </w:p>
        </w:tc>
        <w:tc>
          <w:tcPr>
            <w:tcW w:w="0" w:type="auto"/>
            <w:tcBorders>
              <w:top w:val="nil"/>
              <w:left w:val="nil"/>
              <w:bottom w:val="single" w:color="auto" w:sz="4" w:space="0"/>
              <w:right w:val="single" w:color="auto" w:sz="4" w:space="0"/>
            </w:tcBorders>
            <w:shd w:val="clear" w:color="auto" w:fill="auto"/>
            <w:noWrap/>
            <w:vAlign w:val="center"/>
          </w:tcPr>
          <w:p w14:paraId="038BF01E">
            <w:pPr>
              <w:widowControl/>
              <w:jc w:val="center"/>
              <w:rPr>
                <w:rFonts w:hint="eastAsia" w:ascii="Arial" w:hAnsi="Arial" w:cs="Arial"/>
                <w:color w:val="222222"/>
                <w:kern w:val="0"/>
                <w:sz w:val="20"/>
                <w:szCs w:val="20"/>
              </w:rPr>
            </w:pPr>
            <w:r>
              <w:rPr>
                <w:rFonts w:ascii="Arial" w:hAnsi="Arial" w:cs="Arial"/>
                <w:color w:val="222222"/>
                <w:kern w:val="0"/>
                <w:sz w:val="20"/>
                <w:szCs w:val="20"/>
              </w:rPr>
              <w:t>——</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2A874FA5">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0" w:type="auto"/>
            <w:tcBorders>
              <w:top w:val="nil"/>
              <w:left w:val="nil"/>
              <w:bottom w:val="single" w:color="auto" w:sz="4" w:space="0"/>
              <w:right w:val="single" w:color="auto" w:sz="4" w:space="0"/>
            </w:tcBorders>
            <w:shd w:val="clear" w:color="auto" w:fill="auto"/>
            <w:noWrap/>
            <w:vAlign w:val="center"/>
          </w:tcPr>
          <w:p w14:paraId="24072EE1">
            <w:pPr>
              <w:widowControl/>
              <w:jc w:val="center"/>
              <w:rPr>
                <w:rFonts w:hint="eastAsia" w:ascii="Arial" w:hAnsi="Arial" w:cs="Arial"/>
                <w:color w:val="222222"/>
                <w:kern w:val="0"/>
                <w:sz w:val="20"/>
                <w:szCs w:val="20"/>
              </w:rPr>
            </w:pPr>
            <w:r>
              <w:rPr>
                <w:rFonts w:ascii="Arial" w:hAnsi="Arial" w:cs="Arial"/>
                <w:color w:val="222222"/>
                <w:kern w:val="0"/>
                <w:sz w:val="20"/>
                <w:szCs w:val="20"/>
              </w:rPr>
              <w:t>——</w:t>
            </w:r>
          </w:p>
        </w:tc>
      </w:tr>
      <w:tr w14:paraId="3C95FD02">
        <w:tblPrEx>
          <w:tblCellMar>
            <w:top w:w="0" w:type="dxa"/>
            <w:left w:w="108" w:type="dxa"/>
            <w:bottom w:w="0" w:type="dxa"/>
            <w:right w:w="108" w:type="dxa"/>
          </w:tblCellMar>
        </w:tblPrEx>
        <w:trPr>
          <w:trHeight w:val="379" w:hRule="atLeast"/>
        </w:trPr>
        <w:tc>
          <w:tcPr>
            <w:tcW w:w="0" w:type="auto"/>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46D4C8">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年度总体目标</w:t>
            </w:r>
          </w:p>
        </w:tc>
        <w:tc>
          <w:tcPr>
            <w:tcW w:w="0" w:type="auto"/>
            <w:gridSpan w:val="5"/>
            <w:tcBorders>
              <w:top w:val="single" w:color="auto" w:sz="4" w:space="0"/>
              <w:left w:val="nil"/>
              <w:bottom w:val="single" w:color="auto" w:sz="4" w:space="0"/>
              <w:right w:val="single" w:color="000000" w:sz="4" w:space="0"/>
            </w:tcBorders>
            <w:shd w:val="clear" w:color="auto" w:fill="auto"/>
            <w:vAlign w:val="center"/>
          </w:tcPr>
          <w:p w14:paraId="545DECD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预期目标</w:t>
            </w:r>
          </w:p>
        </w:tc>
        <w:tc>
          <w:tcPr>
            <w:tcW w:w="0" w:type="auto"/>
            <w:gridSpan w:val="5"/>
            <w:tcBorders>
              <w:top w:val="single" w:color="auto" w:sz="4" w:space="0"/>
              <w:left w:val="nil"/>
              <w:bottom w:val="single" w:color="auto" w:sz="4" w:space="0"/>
              <w:right w:val="single" w:color="000000" w:sz="4" w:space="0"/>
            </w:tcBorders>
            <w:shd w:val="clear" w:color="auto" w:fill="auto"/>
            <w:vAlign w:val="center"/>
          </w:tcPr>
          <w:p w14:paraId="3253314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实际完成情况</w:t>
            </w:r>
          </w:p>
        </w:tc>
      </w:tr>
      <w:tr w14:paraId="1166D8AE">
        <w:tblPrEx>
          <w:tblCellMar>
            <w:top w:w="0" w:type="dxa"/>
            <w:left w:w="108" w:type="dxa"/>
            <w:bottom w:w="0" w:type="dxa"/>
            <w:right w:w="108" w:type="dxa"/>
          </w:tblCellMar>
        </w:tblPrEx>
        <w:trPr>
          <w:trHeight w:val="156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61180081">
            <w:pPr>
              <w:widowControl/>
              <w:jc w:val="left"/>
              <w:rPr>
                <w:rFonts w:ascii="宋体" w:hAnsi="宋体" w:cs="宋体"/>
                <w:color w:val="000000"/>
                <w:kern w:val="0"/>
                <w:sz w:val="18"/>
                <w:szCs w:val="18"/>
              </w:rPr>
            </w:pPr>
          </w:p>
        </w:tc>
        <w:tc>
          <w:tcPr>
            <w:tcW w:w="0" w:type="auto"/>
            <w:gridSpan w:val="5"/>
            <w:tcBorders>
              <w:top w:val="single" w:color="auto" w:sz="4" w:space="0"/>
              <w:left w:val="nil"/>
              <w:bottom w:val="single" w:color="auto" w:sz="4" w:space="0"/>
              <w:right w:val="single" w:color="000000" w:sz="4" w:space="0"/>
            </w:tcBorders>
            <w:shd w:val="clear" w:color="auto" w:fill="auto"/>
            <w:vAlign w:val="center"/>
          </w:tcPr>
          <w:p w14:paraId="70D8395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1.通过积极开展锅炉压力容器与特种设备委托检验工作，有效提高特种设备使用单位安全生产意识； 2.保障锅炉压力容器与特种设备业务相关房屋，车辆，设备正常运行，积极发展特种设备检验能力，有效保障人民群众生命和财产安全。</w:t>
            </w:r>
          </w:p>
        </w:tc>
        <w:tc>
          <w:tcPr>
            <w:tcW w:w="0" w:type="auto"/>
            <w:gridSpan w:val="5"/>
            <w:tcBorders>
              <w:top w:val="single" w:color="auto" w:sz="4" w:space="0"/>
              <w:left w:val="nil"/>
              <w:bottom w:val="single" w:color="auto" w:sz="4" w:space="0"/>
              <w:right w:val="single" w:color="000000" w:sz="4" w:space="0"/>
            </w:tcBorders>
            <w:shd w:val="clear" w:color="auto" w:fill="auto"/>
            <w:vAlign w:val="center"/>
          </w:tcPr>
          <w:p w14:paraId="321CAEB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2023年全年，内蒙古自治区特种设备检验研究院巴彦淖尔分院共完成特种设备检验检测34043台/部，其中：压力容器委托检验687台；电梯定期检验3778台；气瓶包括车载气瓶定期检验20107台；安全阀检验9471台；压力管道委托检验116.9公里。开展特种设备生产单位和使用单位主要负责人、安全总监、安全员培训班共培训1392人；报告出具率达到100%；检测报告合格率达到98%；委托检测单位满意度大于等于98%。通过进行特种设备检验检测，保证了特种设备安全运行，为特种设备安全监察提供了技术支撑，防止和减少事故发生，保障了人民群众生命和财产安全。</w:t>
            </w:r>
          </w:p>
        </w:tc>
      </w:tr>
      <w:tr w14:paraId="02570F53">
        <w:tblPrEx>
          <w:tblCellMar>
            <w:top w:w="0" w:type="dxa"/>
            <w:left w:w="108" w:type="dxa"/>
            <w:bottom w:w="0" w:type="dxa"/>
            <w:right w:w="108" w:type="dxa"/>
          </w:tblCellMar>
        </w:tblPrEx>
        <w:trPr>
          <w:trHeight w:val="582"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19341E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绩效指标</w:t>
            </w:r>
          </w:p>
        </w:tc>
        <w:tc>
          <w:tcPr>
            <w:tcW w:w="0" w:type="auto"/>
            <w:tcBorders>
              <w:top w:val="nil"/>
              <w:left w:val="nil"/>
              <w:bottom w:val="single" w:color="auto" w:sz="4" w:space="0"/>
              <w:right w:val="single" w:color="auto" w:sz="4" w:space="0"/>
            </w:tcBorders>
            <w:shd w:val="clear" w:color="auto" w:fill="auto"/>
            <w:vAlign w:val="center"/>
          </w:tcPr>
          <w:p w14:paraId="7954520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一级指标</w:t>
            </w:r>
          </w:p>
        </w:tc>
        <w:tc>
          <w:tcPr>
            <w:tcW w:w="0" w:type="auto"/>
            <w:tcBorders>
              <w:top w:val="nil"/>
              <w:left w:val="nil"/>
              <w:bottom w:val="single" w:color="auto" w:sz="4" w:space="0"/>
              <w:right w:val="single" w:color="auto" w:sz="4" w:space="0"/>
            </w:tcBorders>
            <w:shd w:val="clear" w:color="auto" w:fill="auto"/>
            <w:vAlign w:val="center"/>
          </w:tcPr>
          <w:p w14:paraId="32DC7E5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二级指标</w:t>
            </w:r>
          </w:p>
        </w:tc>
        <w:tc>
          <w:tcPr>
            <w:tcW w:w="0" w:type="auto"/>
            <w:tcBorders>
              <w:top w:val="nil"/>
              <w:left w:val="nil"/>
              <w:bottom w:val="single" w:color="auto" w:sz="4" w:space="0"/>
              <w:right w:val="single" w:color="auto" w:sz="4" w:space="0"/>
            </w:tcBorders>
            <w:shd w:val="clear" w:color="auto" w:fill="auto"/>
            <w:vAlign w:val="center"/>
          </w:tcPr>
          <w:p w14:paraId="4FE86DC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三级指标</w:t>
            </w:r>
          </w:p>
        </w:tc>
        <w:tc>
          <w:tcPr>
            <w:tcW w:w="0" w:type="auto"/>
            <w:tcBorders>
              <w:top w:val="nil"/>
              <w:left w:val="nil"/>
              <w:bottom w:val="single" w:color="auto" w:sz="4" w:space="0"/>
              <w:right w:val="single" w:color="auto" w:sz="4" w:space="0"/>
            </w:tcBorders>
            <w:shd w:val="clear" w:color="auto" w:fill="auto"/>
            <w:vAlign w:val="center"/>
          </w:tcPr>
          <w:p w14:paraId="22C7794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指标性质</w:t>
            </w:r>
          </w:p>
        </w:tc>
        <w:tc>
          <w:tcPr>
            <w:tcW w:w="0" w:type="auto"/>
            <w:tcBorders>
              <w:top w:val="nil"/>
              <w:left w:val="nil"/>
              <w:bottom w:val="single" w:color="auto" w:sz="4" w:space="0"/>
              <w:right w:val="single" w:color="auto" w:sz="4" w:space="0"/>
            </w:tcBorders>
            <w:shd w:val="clear" w:color="auto" w:fill="auto"/>
            <w:vAlign w:val="center"/>
          </w:tcPr>
          <w:p w14:paraId="59837AE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指标方向</w:t>
            </w:r>
          </w:p>
        </w:tc>
        <w:tc>
          <w:tcPr>
            <w:tcW w:w="0" w:type="auto"/>
            <w:tcBorders>
              <w:top w:val="nil"/>
              <w:left w:val="nil"/>
              <w:bottom w:val="single" w:color="auto" w:sz="4" w:space="0"/>
              <w:right w:val="single" w:color="auto" w:sz="4" w:space="0"/>
            </w:tcBorders>
            <w:shd w:val="clear" w:color="auto" w:fill="auto"/>
            <w:vAlign w:val="center"/>
          </w:tcPr>
          <w:p w14:paraId="240F6E1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年度指标值</w:t>
            </w:r>
          </w:p>
        </w:tc>
        <w:tc>
          <w:tcPr>
            <w:tcW w:w="0" w:type="auto"/>
            <w:tcBorders>
              <w:top w:val="nil"/>
              <w:left w:val="nil"/>
              <w:bottom w:val="single" w:color="auto" w:sz="4" w:space="0"/>
              <w:right w:val="single" w:color="auto" w:sz="4" w:space="0"/>
            </w:tcBorders>
            <w:shd w:val="clear" w:color="auto" w:fill="auto"/>
            <w:vAlign w:val="center"/>
          </w:tcPr>
          <w:p w14:paraId="7EFEAD8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实际完成值</w:t>
            </w:r>
          </w:p>
        </w:tc>
        <w:tc>
          <w:tcPr>
            <w:tcW w:w="0" w:type="auto"/>
            <w:tcBorders>
              <w:top w:val="nil"/>
              <w:left w:val="nil"/>
              <w:bottom w:val="single" w:color="auto" w:sz="4" w:space="0"/>
              <w:right w:val="single" w:color="auto" w:sz="4" w:space="0"/>
            </w:tcBorders>
            <w:shd w:val="clear" w:color="auto" w:fill="auto"/>
            <w:vAlign w:val="center"/>
          </w:tcPr>
          <w:p w14:paraId="0B544A6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计量单位</w:t>
            </w:r>
          </w:p>
        </w:tc>
        <w:tc>
          <w:tcPr>
            <w:tcW w:w="0" w:type="auto"/>
            <w:tcBorders>
              <w:top w:val="nil"/>
              <w:left w:val="nil"/>
              <w:bottom w:val="single" w:color="auto" w:sz="4" w:space="0"/>
              <w:right w:val="single" w:color="auto" w:sz="4" w:space="0"/>
            </w:tcBorders>
            <w:shd w:val="clear" w:color="auto" w:fill="auto"/>
            <w:vAlign w:val="center"/>
          </w:tcPr>
          <w:p w14:paraId="3BB7C93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分值</w:t>
            </w:r>
          </w:p>
        </w:tc>
        <w:tc>
          <w:tcPr>
            <w:tcW w:w="0" w:type="auto"/>
            <w:tcBorders>
              <w:top w:val="nil"/>
              <w:left w:val="nil"/>
              <w:bottom w:val="single" w:color="auto" w:sz="4" w:space="0"/>
              <w:right w:val="single" w:color="auto" w:sz="4" w:space="0"/>
            </w:tcBorders>
            <w:shd w:val="clear" w:color="auto" w:fill="auto"/>
            <w:vAlign w:val="center"/>
          </w:tcPr>
          <w:p w14:paraId="14AEC40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得分</w:t>
            </w:r>
          </w:p>
        </w:tc>
        <w:tc>
          <w:tcPr>
            <w:tcW w:w="0" w:type="auto"/>
            <w:tcBorders>
              <w:top w:val="nil"/>
              <w:left w:val="nil"/>
              <w:bottom w:val="single" w:color="auto" w:sz="4" w:space="0"/>
              <w:right w:val="single" w:color="auto" w:sz="4" w:space="0"/>
            </w:tcBorders>
            <w:shd w:val="clear" w:color="auto" w:fill="auto"/>
            <w:vAlign w:val="center"/>
          </w:tcPr>
          <w:p w14:paraId="0FA32F3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偏差原因分析及改进措施</w:t>
            </w:r>
          </w:p>
        </w:tc>
      </w:tr>
      <w:tr w14:paraId="34E5E9F4">
        <w:tblPrEx>
          <w:tblCellMar>
            <w:top w:w="0" w:type="dxa"/>
            <w:left w:w="108" w:type="dxa"/>
            <w:bottom w:w="0" w:type="dxa"/>
            <w:right w:w="108" w:type="dxa"/>
          </w:tblCellMar>
        </w:tblPrEx>
        <w:trPr>
          <w:trHeight w:val="840" w:hRule="atLeast"/>
        </w:trPr>
        <w:tc>
          <w:tcPr>
            <w:tcW w:w="0" w:type="auto"/>
            <w:vMerge w:val="restart"/>
            <w:tcBorders>
              <w:top w:val="nil"/>
              <w:left w:val="single" w:color="auto" w:sz="4" w:space="0"/>
              <w:bottom w:val="nil"/>
              <w:right w:val="single" w:color="auto" w:sz="4" w:space="0"/>
            </w:tcBorders>
            <w:shd w:val="clear" w:color="auto" w:fill="auto"/>
            <w:vAlign w:val="center"/>
          </w:tcPr>
          <w:p w14:paraId="60F39B6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绩效指标</w:t>
            </w:r>
          </w:p>
        </w:tc>
        <w:tc>
          <w:tcPr>
            <w:tcW w:w="0" w:type="auto"/>
            <w:vMerge w:val="restart"/>
            <w:tcBorders>
              <w:top w:val="nil"/>
              <w:left w:val="single" w:color="auto" w:sz="4" w:space="0"/>
              <w:bottom w:val="nil"/>
              <w:right w:val="single" w:color="auto" w:sz="4" w:space="0"/>
            </w:tcBorders>
            <w:shd w:val="clear" w:color="auto" w:fill="auto"/>
            <w:vAlign w:val="center"/>
          </w:tcPr>
          <w:p w14:paraId="7C9E67E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产出指标</w:t>
            </w:r>
          </w:p>
        </w:tc>
        <w:tc>
          <w:tcPr>
            <w:tcW w:w="0" w:type="auto"/>
            <w:vMerge w:val="restart"/>
            <w:tcBorders>
              <w:top w:val="nil"/>
              <w:left w:val="single" w:color="auto" w:sz="4" w:space="0"/>
              <w:bottom w:val="nil"/>
              <w:right w:val="single" w:color="auto" w:sz="4" w:space="0"/>
            </w:tcBorders>
            <w:shd w:val="clear" w:color="auto" w:fill="auto"/>
            <w:vAlign w:val="center"/>
          </w:tcPr>
          <w:p w14:paraId="64043E4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数量指标</w:t>
            </w:r>
          </w:p>
        </w:tc>
        <w:tc>
          <w:tcPr>
            <w:tcW w:w="0" w:type="auto"/>
            <w:tcBorders>
              <w:top w:val="nil"/>
              <w:left w:val="nil"/>
              <w:bottom w:val="nil"/>
              <w:right w:val="single" w:color="auto" w:sz="4" w:space="0"/>
            </w:tcBorders>
            <w:shd w:val="clear" w:color="auto" w:fill="auto"/>
            <w:vAlign w:val="center"/>
          </w:tcPr>
          <w:p w14:paraId="11D67A0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压力容器委托检验编制数量</w:t>
            </w:r>
          </w:p>
        </w:tc>
        <w:tc>
          <w:tcPr>
            <w:tcW w:w="0" w:type="auto"/>
            <w:tcBorders>
              <w:top w:val="nil"/>
              <w:left w:val="nil"/>
              <w:bottom w:val="nil"/>
              <w:right w:val="single" w:color="auto" w:sz="4" w:space="0"/>
            </w:tcBorders>
            <w:shd w:val="clear" w:color="auto" w:fill="auto"/>
            <w:vAlign w:val="center"/>
          </w:tcPr>
          <w:p w14:paraId="6C13E33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正向</w:t>
            </w:r>
          </w:p>
        </w:tc>
        <w:tc>
          <w:tcPr>
            <w:tcW w:w="0" w:type="auto"/>
            <w:tcBorders>
              <w:top w:val="nil"/>
              <w:left w:val="nil"/>
              <w:bottom w:val="nil"/>
              <w:right w:val="single" w:color="auto" w:sz="4" w:space="0"/>
            </w:tcBorders>
            <w:shd w:val="clear" w:color="auto" w:fill="auto"/>
            <w:vAlign w:val="center"/>
          </w:tcPr>
          <w:p w14:paraId="51FF8C5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大于等于</w:t>
            </w:r>
          </w:p>
        </w:tc>
        <w:tc>
          <w:tcPr>
            <w:tcW w:w="0" w:type="auto"/>
            <w:tcBorders>
              <w:top w:val="nil"/>
              <w:left w:val="nil"/>
              <w:bottom w:val="nil"/>
              <w:right w:val="single" w:color="auto" w:sz="4" w:space="0"/>
            </w:tcBorders>
            <w:shd w:val="clear" w:color="auto" w:fill="auto"/>
            <w:vAlign w:val="center"/>
          </w:tcPr>
          <w:p w14:paraId="53B6DE3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0" w:type="auto"/>
            <w:tcBorders>
              <w:top w:val="nil"/>
              <w:left w:val="nil"/>
              <w:bottom w:val="nil"/>
              <w:right w:val="single" w:color="auto" w:sz="4" w:space="0"/>
            </w:tcBorders>
            <w:shd w:val="clear" w:color="auto" w:fill="auto"/>
            <w:vAlign w:val="center"/>
          </w:tcPr>
          <w:p w14:paraId="29778ED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687</w:t>
            </w:r>
          </w:p>
        </w:tc>
        <w:tc>
          <w:tcPr>
            <w:tcW w:w="0" w:type="auto"/>
            <w:tcBorders>
              <w:top w:val="nil"/>
              <w:left w:val="nil"/>
              <w:bottom w:val="nil"/>
              <w:right w:val="single" w:color="auto" w:sz="4" w:space="0"/>
            </w:tcBorders>
            <w:shd w:val="clear" w:color="auto" w:fill="auto"/>
            <w:vAlign w:val="center"/>
          </w:tcPr>
          <w:p w14:paraId="6AAFA40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nil"/>
              <w:left w:val="nil"/>
              <w:bottom w:val="nil"/>
              <w:right w:val="single" w:color="auto" w:sz="4" w:space="0"/>
            </w:tcBorders>
            <w:shd w:val="clear" w:color="auto" w:fill="auto"/>
            <w:vAlign w:val="center"/>
          </w:tcPr>
          <w:p w14:paraId="6F35474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nil"/>
              <w:left w:val="nil"/>
              <w:bottom w:val="nil"/>
              <w:right w:val="single" w:color="auto" w:sz="4" w:space="0"/>
            </w:tcBorders>
            <w:shd w:val="clear" w:color="auto" w:fill="auto"/>
            <w:vAlign w:val="center"/>
          </w:tcPr>
          <w:p w14:paraId="69FD919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nil"/>
              <w:left w:val="nil"/>
              <w:bottom w:val="nil"/>
              <w:right w:val="single" w:color="auto" w:sz="4" w:space="0"/>
            </w:tcBorders>
            <w:shd w:val="clear" w:color="auto" w:fill="auto"/>
            <w:vAlign w:val="center"/>
          </w:tcPr>
          <w:p w14:paraId="3FC648D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1DFE1F9E">
        <w:tblPrEx>
          <w:tblCellMar>
            <w:top w:w="0" w:type="dxa"/>
            <w:left w:w="108" w:type="dxa"/>
            <w:bottom w:w="0" w:type="dxa"/>
            <w:right w:w="108" w:type="dxa"/>
          </w:tblCellMar>
        </w:tblPrEx>
        <w:trPr>
          <w:trHeight w:val="2280" w:hRule="atLeast"/>
        </w:trPr>
        <w:tc>
          <w:tcPr>
            <w:tcW w:w="0" w:type="auto"/>
            <w:vMerge w:val="continue"/>
            <w:tcBorders>
              <w:top w:val="nil"/>
              <w:left w:val="single" w:color="auto" w:sz="4" w:space="0"/>
              <w:bottom w:val="nil"/>
              <w:right w:val="single" w:color="auto" w:sz="4" w:space="0"/>
            </w:tcBorders>
            <w:vAlign w:val="center"/>
          </w:tcPr>
          <w:p w14:paraId="734CFACC">
            <w:pPr>
              <w:widowControl/>
              <w:jc w:val="left"/>
              <w:rPr>
                <w:rFonts w:ascii="宋体" w:hAnsi="宋体" w:cs="宋体"/>
                <w:color w:val="000000"/>
                <w:kern w:val="0"/>
                <w:sz w:val="18"/>
                <w:szCs w:val="18"/>
              </w:rPr>
            </w:pPr>
          </w:p>
        </w:tc>
        <w:tc>
          <w:tcPr>
            <w:tcW w:w="0" w:type="auto"/>
            <w:vMerge w:val="continue"/>
            <w:tcBorders>
              <w:top w:val="nil"/>
              <w:left w:val="single" w:color="auto" w:sz="4" w:space="0"/>
              <w:bottom w:val="nil"/>
              <w:right w:val="single" w:color="auto" w:sz="4" w:space="0"/>
            </w:tcBorders>
            <w:vAlign w:val="center"/>
          </w:tcPr>
          <w:p w14:paraId="6B3E570C">
            <w:pPr>
              <w:widowControl/>
              <w:jc w:val="left"/>
              <w:rPr>
                <w:rFonts w:ascii="宋体" w:hAnsi="宋体" w:cs="宋体"/>
                <w:color w:val="000000"/>
                <w:kern w:val="0"/>
                <w:sz w:val="18"/>
                <w:szCs w:val="18"/>
              </w:rPr>
            </w:pPr>
          </w:p>
        </w:tc>
        <w:tc>
          <w:tcPr>
            <w:tcW w:w="0" w:type="auto"/>
            <w:vMerge w:val="continue"/>
            <w:tcBorders>
              <w:top w:val="nil"/>
              <w:left w:val="single" w:color="auto" w:sz="4" w:space="0"/>
              <w:bottom w:val="nil"/>
              <w:right w:val="single" w:color="auto" w:sz="4" w:space="0"/>
            </w:tcBorders>
            <w:vAlign w:val="center"/>
          </w:tcPr>
          <w:p w14:paraId="519E59C6">
            <w:pPr>
              <w:widowControl/>
              <w:jc w:val="left"/>
              <w:rPr>
                <w:rFonts w:ascii="宋体" w:hAnsi="宋体" w:cs="宋体"/>
                <w:color w:val="000000"/>
                <w:kern w:val="0"/>
                <w:sz w:val="18"/>
                <w:szCs w:val="18"/>
              </w:rPr>
            </w:pPr>
          </w:p>
        </w:tc>
        <w:tc>
          <w:tcPr>
            <w:tcW w:w="0" w:type="auto"/>
            <w:tcBorders>
              <w:top w:val="single" w:color="auto" w:sz="4" w:space="0"/>
              <w:left w:val="nil"/>
              <w:bottom w:val="nil"/>
              <w:right w:val="single" w:color="auto" w:sz="4" w:space="0"/>
            </w:tcBorders>
            <w:shd w:val="clear" w:color="auto" w:fill="auto"/>
            <w:vAlign w:val="center"/>
          </w:tcPr>
          <w:p w14:paraId="42E6E8D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电梯定期检测数量</w:t>
            </w:r>
          </w:p>
        </w:tc>
        <w:tc>
          <w:tcPr>
            <w:tcW w:w="0" w:type="auto"/>
            <w:tcBorders>
              <w:top w:val="single" w:color="auto" w:sz="4" w:space="0"/>
              <w:left w:val="nil"/>
              <w:bottom w:val="nil"/>
              <w:right w:val="single" w:color="auto" w:sz="4" w:space="0"/>
            </w:tcBorders>
            <w:shd w:val="clear" w:color="auto" w:fill="auto"/>
            <w:vAlign w:val="center"/>
          </w:tcPr>
          <w:p w14:paraId="2F7FF0E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正向</w:t>
            </w:r>
          </w:p>
        </w:tc>
        <w:tc>
          <w:tcPr>
            <w:tcW w:w="0" w:type="auto"/>
            <w:tcBorders>
              <w:top w:val="single" w:color="auto" w:sz="4" w:space="0"/>
              <w:left w:val="nil"/>
              <w:bottom w:val="nil"/>
              <w:right w:val="single" w:color="auto" w:sz="4" w:space="0"/>
            </w:tcBorders>
            <w:shd w:val="clear" w:color="auto" w:fill="auto"/>
            <w:vAlign w:val="center"/>
          </w:tcPr>
          <w:p w14:paraId="5A4A85F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大于等于</w:t>
            </w:r>
          </w:p>
        </w:tc>
        <w:tc>
          <w:tcPr>
            <w:tcW w:w="0" w:type="auto"/>
            <w:tcBorders>
              <w:top w:val="single" w:color="auto" w:sz="4" w:space="0"/>
              <w:left w:val="nil"/>
              <w:bottom w:val="nil"/>
              <w:right w:val="single" w:color="auto" w:sz="4" w:space="0"/>
            </w:tcBorders>
            <w:shd w:val="clear" w:color="auto" w:fill="auto"/>
            <w:vAlign w:val="center"/>
          </w:tcPr>
          <w:p w14:paraId="78034F9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3933</w:t>
            </w:r>
          </w:p>
        </w:tc>
        <w:tc>
          <w:tcPr>
            <w:tcW w:w="0" w:type="auto"/>
            <w:tcBorders>
              <w:top w:val="single" w:color="auto" w:sz="4" w:space="0"/>
              <w:left w:val="nil"/>
              <w:bottom w:val="nil"/>
              <w:right w:val="single" w:color="auto" w:sz="4" w:space="0"/>
            </w:tcBorders>
            <w:shd w:val="clear" w:color="auto" w:fill="auto"/>
            <w:vAlign w:val="center"/>
          </w:tcPr>
          <w:p w14:paraId="321055E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3778</w:t>
            </w:r>
          </w:p>
        </w:tc>
        <w:tc>
          <w:tcPr>
            <w:tcW w:w="0" w:type="auto"/>
            <w:tcBorders>
              <w:top w:val="single" w:color="auto" w:sz="4" w:space="0"/>
              <w:left w:val="nil"/>
              <w:bottom w:val="nil"/>
              <w:right w:val="single" w:color="auto" w:sz="4" w:space="0"/>
            </w:tcBorders>
            <w:shd w:val="clear" w:color="auto" w:fill="auto"/>
            <w:vAlign w:val="center"/>
          </w:tcPr>
          <w:p w14:paraId="37BC4BD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tcBorders>
              <w:top w:val="single" w:color="auto" w:sz="4" w:space="0"/>
              <w:left w:val="nil"/>
              <w:bottom w:val="nil"/>
              <w:right w:val="single" w:color="auto" w:sz="4" w:space="0"/>
            </w:tcBorders>
            <w:shd w:val="clear" w:color="auto" w:fill="auto"/>
            <w:vAlign w:val="center"/>
          </w:tcPr>
          <w:p w14:paraId="4DB7726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auto" w:sz="4" w:space="0"/>
              <w:left w:val="nil"/>
              <w:bottom w:val="nil"/>
              <w:right w:val="single" w:color="auto" w:sz="4" w:space="0"/>
            </w:tcBorders>
            <w:shd w:val="clear" w:color="auto" w:fill="auto"/>
            <w:vAlign w:val="center"/>
          </w:tcPr>
          <w:p w14:paraId="11AC520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2.88</w:t>
            </w:r>
          </w:p>
        </w:tc>
        <w:tc>
          <w:tcPr>
            <w:tcW w:w="0" w:type="auto"/>
            <w:tcBorders>
              <w:top w:val="single" w:color="auto" w:sz="4" w:space="0"/>
              <w:left w:val="nil"/>
              <w:bottom w:val="nil"/>
              <w:right w:val="single" w:color="auto" w:sz="4" w:space="0"/>
            </w:tcBorders>
            <w:shd w:val="clear" w:color="auto" w:fill="auto"/>
            <w:vAlign w:val="center"/>
          </w:tcPr>
          <w:p w14:paraId="1AD2A48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根据市场监督管理局56号文电梯检验检测改革措施实施后导致电梯检验检测数量减少，下年度我院将根据制定的预算目标以及各类实际情况精准预测年度指标值。</w:t>
            </w:r>
          </w:p>
        </w:tc>
      </w:tr>
      <w:tr w14:paraId="00145C8B">
        <w:tblPrEx>
          <w:tblCellMar>
            <w:top w:w="0" w:type="dxa"/>
            <w:left w:w="108" w:type="dxa"/>
            <w:bottom w:w="0" w:type="dxa"/>
            <w:right w:w="108" w:type="dxa"/>
          </w:tblCellMar>
        </w:tblPrEx>
        <w:trPr>
          <w:trHeight w:val="840" w:hRule="atLeast"/>
        </w:trPr>
        <w:tc>
          <w:tcPr>
            <w:tcW w:w="0" w:type="auto"/>
            <w:vMerge w:val="continue"/>
            <w:tcBorders>
              <w:top w:val="nil"/>
              <w:left w:val="single" w:color="auto" w:sz="4" w:space="0"/>
              <w:bottom w:val="nil"/>
              <w:right w:val="single" w:color="auto" w:sz="4" w:space="0"/>
            </w:tcBorders>
            <w:vAlign w:val="center"/>
          </w:tcPr>
          <w:p w14:paraId="390FA4B3">
            <w:pPr>
              <w:widowControl/>
              <w:jc w:val="left"/>
              <w:rPr>
                <w:rFonts w:ascii="宋体" w:hAnsi="宋体" w:cs="宋体"/>
                <w:color w:val="000000"/>
                <w:kern w:val="0"/>
                <w:sz w:val="18"/>
                <w:szCs w:val="18"/>
              </w:rPr>
            </w:pPr>
          </w:p>
        </w:tc>
        <w:tc>
          <w:tcPr>
            <w:tcW w:w="0" w:type="auto"/>
            <w:vMerge w:val="continue"/>
            <w:tcBorders>
              <w:top w:val="nil"/>
              <w:left w:val="single" w:color="auto" w:sz="4" w:space="0"/>
              <w:bottom w:val="nil"/>
              <w:right w:val="single" w:color="auto" w:sz="4" w:space="0"/>
            </w:tcBorders>
            <w:vAlign w:val="center"/>
          </w:tcPr>
          <w:p w14:paraId="282E38A0">
            <w:pPr>
              <w:widowControl/>
              <w:jc w:val="left"/>
              <w:rPr>
                <w:rFonts w:ascii="宋体" w:hAnsi="宋体" w:cs="宋体"/>
                <w:color w:val="000000"/>
                <w:kern w:val="0"/>
                <w:sz w:val="18"/>
                <w:szCs w:val="18"/>
              </w:rPr>
            </w:pPr>
          </w:p>
        </w:tc>
        <w:tc>
          <w:tcPr>
            <w:tcW w:w="0" w:type="auto"/>
            <w:vMerge w:val="continue"/>
            <w:tcBorders>
              <w:top w:val="nil"/>
              <w:left w:val="single" w:color="auto" w:sz="4" w:space="0"/>
              <w:bottom w:val="nil"/>
              <w:right w:val="single" w:color="auto" w:sz="4" w:space="0"/>
            </w:tcBorders>
            <w:vAlign w:val="center"/>
          </w:tcPr>
          <w:p w14:paraId="103F248D">
            <w:pPr>
              <w:widowControl/>
              <w:jc w:val="left"/>
              <w:rPr>
                <w:rFonts w:ascii="宋体" w:hAnsi="宋体" w:cs="宋体"/>
                <w:color w:val="000000"/>
                <w:kern w:val="0"/>
                <w:sz w:val="18"/>
                <w:szCs w:val="18"/>
              </w:rPr>
            </w:pPr>
          </w:p>
        </w:tc>
        <w:tc>
          <w:tcPr>
            <w:tcW w:w="0" w:type="auto"/>
            <w:tcBorders>
              <w:top w:val="single" w:color="auto" w:sz="4" w:space="0"/>
              <w:left w:val="nil"/>
              <w:bottom w:val="nil"/>
              <w:right w:val="single" w:color="auto" w:sz="4" w:space="0"/>
            </w:tcBorders>
            <w:shd w:val="clear" w:color="auto" w:fill="auto"/>
            <w:vAlign w:val="center"/>
          </w:tcPr>
          <w:p w14:paraId="6169E13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气瓶包括车载气瓶定期检验数量</w:t>
            </w:r>
          </w:p>
        </w:tc>
        <w:tc>
          <w:tcPr>
            <w:tcW w:w="0" w:type="auto"/>
            <w:tcBorders>
              <w:top w:val="single" w:color="auto" w:sz="4" w:space="0"/>
              <w:left w:val="nil"/>
              <w:bottom w:val="nil"/>
              <w:right w:val="single" w:color="auto" w:sz="4" w:space="0"/>
            </w:tcBorders>
            <w:shd w:val="clear" w:color="auto" w:fill="auto"/>
            <w:vAlign w:val="center"/>
          </w:tcPr>
          <w:p w14:paraId="35F179A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正向</w:t>
            </w:r>
          </w:p>
        </w:tc>
        <w:tc>
          <w:tcPr>
            <w:tcW w:w="0" w:type="auto"/>
            <w:tcBorders>
              <w:top w:val="single" w:color="auto" w:sz="4" w:space="0"/>
              <w:left w:val="nil"/>
              <w:bottom w:val="nil"/>
              <w:right w:val="single" w:color="auto" w:sz="4" w:space="0"/>
            </w:tcBorders>
            <w:shd w:val="clear" w:color="auto" w:fill="auto"/>
            <w:vAlign w:val="center"/>
          </w:tcPr>
          <w:p w14:paraId="0BD40B5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大于等于</w:t>
            </w:r>
          </w:p>
        </w:tc>
        <w:tc>
          <w:tcPr>
            <w:tcW w:w="0" w:type="auto"/>
            <w:tcBorders>
              <w:top w:val="single" w:color="auto" w:sz="4" w:space="0"/>
              <w:left w:val="nil"/>
              <w:bottom w:val="nil"/>
              <w:right w:val="single" w:color="auto" w:sz="4" w:space="0"/>
            </w:tcBorders>
            <w:shd w:val="clear" w:color="auto" w:fill="auto"/>
            <w:vAlign w:val="center"/>
          </w:tcPr>
          <w:p w14:paraId="60C44AD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9500</w:t>
            </w:r>
          </w:p>
        </w:tc>
        <w:tc>
          <w:tcPr>
            <w:tcW w:w="0" w:type="auto"/>
            <w:tcBorders>
              <w:top w:val="single" w:color="auto" w:sz="4" w:space="0"/>
              <w:left w:val="nil"/>
              <w:bottom w:val="nil"/>
              <w:right w:val="single" w:color="auto" w:sz="4" w:space="0"/>
            </w:tcBorders>
            <w:shd w:val="clear" w:color="auto" w:fill="auto"/>
            <w:vAlign w:val="center"/>
          </w:tcPr>
          <w:p w14:paraId="65772CE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20107</w:t>
            </w:r>
          </w:p>
        </w:tc>
        <w:tc>
          <w:tcPr>
            <w:tcW w:w="0" w:type="auto"/>
            <w:tcBorders>
              <w:top w:val="single" w:color="auto" w:sz="4" w:space="0"/>
              <w:left w:val="nil"/>
              <w:bottom w:val="nil"/>
              <w:right w:val="single" w:color="auto" w:sz="4" w:space="0"/>
            </w:tcBorders>
            <w:shd w:val="clear" w:color="auto" w:fill="auto"/>
            <w:vAlign w:val="center"/>
          </w:tcPr>
          <w:p w14:paraId="2803B41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只（台）</w:t>
            </w:r>
          </w:p>
        </w:tc>
        <w:tc>
          <w:tcPr>
            <w:tcW w:w="0" w:type="auto"/>
            <w:tcBorders>
              <w:top w:val="single" w:color="auto" w:sz="4" w:space="0"/>
              <w:left w:val="nil"/>
              <w:bottom w:val="nil"/>
              <w:right w:val="single" w:color="auto" w:sz="4" w:space="0"/>
            </w:tcBorders>
            <w:shd w:val="clear" w:color="auto" w:fill="auto"/>
            <w:vAlign w:val="center"/>
          </w:tcPr>
          <w:p w14:paraId="3120224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auto" w:sz="4" w:space="0"/>
              <w:left w:val="nil"/>
              <w:bottom w:val="nil"/>
              <w:right w:val="single" w:color="auto" w:sz="4" w:space="0"/>
            </w:tcBorders>
            <w:shd w:val="clear" w:color="auto" w:fill="auto"/>
            <w:vAlign w:val="center"/>
          </w:tcPr>
          <w:p w14:paraId="38CFF4C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auto" w:sz="4" w:space="0"/>
              <w:left w:val="nil"/>
              <w:bottom w:val="nil"/>
              <w:right w:val="single" w:color="auto" w:sz="4" w:space="0"/>
            </w:tcBorders>
            <w:shd w:val="clear" w:color="auto" w:fill="auto"/>
            <w:vAlign w:val="center"/>
          </w:tcPr>
          <w:p w14:paraId="1CEE613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3A292B78">
        <w:tblPrEx>
          <w:tblCellMar>
            <w:top w:w="0" w:type="dxa"/>
            <w:left w:w="108" w:type="dxa"/>
            <w:bottom w:w="0" w:type="dxa"/>
            <w:right w:w="108" w:type="dxa"/>
          </w:tblCellMar>
        </w:tblPrEx>
        <w:trPr>
          <w:trHeight w:val="840" w:hRule="atLeast"/>
        </w:trPr>
        <w:tc>
          <w:tcPr>
            <w:tcW w:w="0" w:type="auto"/>
            <w:vMerge w:val="continue"/>
            <w:tcBorders>
              <w:top w:val="nil"/>
              <w:left w:val="single" w:color="auto" w:sz="4" w:space="0"/>
              <w:bottom w:val="nil"/>
              <w:right w:val="single" w:color="auto" w:sz="4" w:space="0"/>
            </w:tcBorders>
            <w:vAlign w:val="center"/>
          </w:tcPr>
          <w:p w14:paraId="282EE0A4">
            <w:pPr>
              <w:widowControl/>
              <w:jc w:val="left"/>
              <w:rPr>
                <w:rFonts w:ascii="宋体" w:hAnsi="宋体" w:cs="宋体"/>
                <w:color w:val="000000"/>
                <w:kern w:val="0"/>
                <w:sz w:val="18"/>
                <w:szCs w:val="18"/>
              </w:rPr>
            </w:pPr>
          </w:p>
        </w:tc>
        <w:tc>
          <w:tcPr>
            <w:tcW w:w="0" w:type="auto"/>
            <w:vMerge w:val="continue"/>
            <w:tcBorders>
              <w:top w:val="nil"/>
              <w:left w:val="single" w:color="auto" w:sz="4" w:space="0"/>
              <w:bottom w:val="nil"/>
              <w:right w:val="single" w:color="auto" w:sz="4" w:space="0"/>
            </w:tcBorders>
            <w:vAlign w:val="center"/>
          </w:tcPr>
          <w:p w14:paraId="296CCA7F">
            <w:pPr>
              <w:widowControl/>
              <w:jc w:val="left"/>
              <w:rPr>
                <w:rFonts w:ascii="宋体" w:hAnsi="宋体" w:cs="宋体"/>
                <w:color w:val="000000"/>
                <w:kern w:val="0"/>
                <w:sz w:val="18"/>
                <w:szCs w:val="18"/>
              </w:rPr>
            </w:pPr>
          </w:p>
        </w:tc>
        <w:tc>
          <w:tcPr>
            <w:tcW w:w="0" w:type="auto"/>
            <w:vMerge w:val="continue"/>
            <w:tcBorders>
              <w:top w:val="nil"/>
              <w:left w:val="single" w:color="auto" w:sz="4" w:space="0"/>
              <w:bottom w:val="nil"/>
              <w:right w:val="single" w:color="auto" w:sz="4" w:space="0"/>
            </w:tcBorders>
            <w:vAlign w:val="center"/>
          </w:tcPr>
          <w:p w14:paraId="4DA14639">
            <w:pPr>
              <w:widowControl/>
              <w:jc w:val="left"/>
              <w:rPr>
                <w:rFonts w:ascii="宋体" w:hAnsi="宋体" w:cs="宋体"/>
                <w:color w:val="000000"/>
                <w:kern w:val="0"/>
                <w:sz w:val="18"/>
                <w:szCs w:val="18"/>
              </w:rPr>
            </w:pPr>
          </w:p>
        </w:tc>
        <w:tc>
          <w:tcPr>
            <w:tcW w:w="0" w:type="auto"/>
            <w:tcBorders>
              <w:top w:val="single" w:color="auto" w:sz="4" w:space="0"/>
              <w:left w:val="nil"/>
              <w:bottom w:val="nil"/>
              <w:right w:val="single" w:color="auto" w:sz="4" w:space="0"/>
            </w:tcBorders>
            <w:shd w:val="clear" w:color="auto" w:fill="auto"/>
            <w:vAlign w:val="center"/>
          </w:tcPr>
          <w:p w14:paraId="3F0FDB9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安全阀检验检测数量</w:t>
            </w:r>
          </w:p>
        </w:tc>
        <w:tc>
          <w:tcPr>
            <w:tcW w:w="0" w:type="auto"/>
            <w:tcBorders>
              <w:top w:val="single" w:color="auto" w:sz="4" w:space="0"/>
              <w:left w:val="nil"/>
              <w:bottom w:val="nil"/>
              <w:right w:val="single" w:color="auto" w:sz="4" w:space="0"/>
            </w:tcBorders>
            <w:shd w:val="clear" w:color="auto" w:fill="auto"/>
            <w:vAlign w:val="center"/>
          </w:tcPr>
          <w:p w14:paraId="5E68E6E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正向</w:t>
            </w:r>
          </w:p>
        </w:tc>
        <w:tc>
          <w:tcPr>
            <w:tcW w:w="0" w:type="auto"/>
            <w:tcBorders>
              <w:top w:val="single" w:color="auto" w:sz="4" w:space="0"/>
              <w:left w:val="nil"/>
              <w:bottom w:val="nil"/>
              <w:right w:val="single" w:color="auto" w:sz="4" w:space="0"/>
            </w:tcBorders>
            <w:shd w:val="clear" w:color="auto" w:fill="auto"/>
            <w:vAlign w:val="center"/>
          </w:tcPr>
          <w:p w14:paraId="796E459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大于等于</w:t>
            </w:r>
          </w:p>
        </w:tc>
        <w:tc>
          <w:tcPr>
            <w:tcW w:w="0" w:type="auto"/>
            <w:tcBorders>
              <w:top w:val="single" w:color="auto" w:sz="4" w:space="0"/>
              <w:left w:val="nil"/>
              <w:bottom w:val="nil"/>
              <w:right w:val="single" w:color="auto" w:sz="4" w:space="0"/>
            </w:tcBorders>
            <w:shd w:val="clear" w:color="auto" w:fill="auto"/>
            <w:vAlign w:val="center"/>
          </w:tcPr>
          <w:p w14:paraId="166FA0D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6000</w:t>
            </w:r>
          </w:p>
        </w:tc>
        <w:tc>
          <w:tcPr>
            <w:tcW w:w="0" w:type="auto"/>
            <w:tcBorders>
              <w:top w:val="single" w:color="auto" w:sz="4" w:space="0"/>
              <w:left w:val="nil"/>
              <w:bottom w:val="nil"/>
              <w:right w:val="single" w:color="auto" w:sz="4" w:space="0"/>
            </w:tcBorders>
            <w:shd w:val="clear" w:color="auto" w:fill="auto"/>
            <w:vAlign w:val="center"/>
          </w:tcPr>
          <w:p w14:paraId="537B52B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9471</w:t>
            </w:r>
          </w:p>
        </w:tc>
        <w:tc>
          <w:tcPr>
            <w:tcW w:w="0" w:type="auto"/>
            <w:tcBorders>
              <w:top w:val="single" w:color="auto" w:sz="4" w:space="0"/>
              <w:left w:val="nil"/>
              <w:bottom w:val="nil"/>
              <w:right w:val="single" w:color="auto" w:sz="4" w:space="0"/>
            </w:tcBorders>
            <w:shd w:val="clear" w:color="auto" w:fill="auto"/>
            <w:vAlign w:val="center"/>
          </w:tcPr>
          <w:p w14:paraId="3D21302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只（台）</w:t>
            </w:r>
          </w:p>
        </w:tc>
        <w:tc>
          <w:tcPr>
            <w:tcW w:w="0" w:type="auto"/>
            <w:tcBorders>
              <w:top w:val="single" w:color="auto" w:sz="4" w:space="0"/>
              <w:left w:val="nil"/>
              <w:bottom w:val="nil"/>
              <w:right w:val="single" w:color="auto" w:sz="4" w:space="0"/>
            </w:tcBorders>
            <w:shd w:val="clear" w:color="auto" w:fill="auto"/>
            <w:vAlign w:val="center"/>
          </w:tcPr>
          <w:p w14:paraId="3D41947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auto" w:sz="4" w:space="0"/>
              <w:left w:val="nil"/>
              <w:bottom w:val="nil"/>
              <w:right w:val="single" w:color="auto" w:sz="4" w:space="0"/>
            </w:tcBorders>
            <w:shd w:val="clear" w:color="auto" w:fill="auto"/>
            <w:vAlign w:val="center"/>
          </w:tcPr>
          <w:p w14:paraId="17EAB2C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auto" w:sz="4" w:space="0"/>
              <w:left w:val="nil"/>
              <w:bottom w:val="nil"/>
              <w:right w:val="single" w:color="auto" w:sz="4" w:space="0"/>
            </w:tcBorders>
            <w:shd w:val="clear" w:color="auto" w:fill="auto"/>
            <w:vAlign w:val="center"/>
          </w:tcPr>
          <w:p w14:paraId="21D9C36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7D41169C">
        <w:tblPrEx>
          <w:tblCellMar>
            <w:top w:w="0" w:type="dxa"/>
            <w:left w:w="108" w:type="dxa"/>
            <w:bottom w:w="0" w:type="dxa"/>
            <w:right w:w="108" w:type="dxa"/>
          </w:tblCellMar>
        </w:tblPrEx>
        <w:trPr>
          <w:trHeight w:val="840" w:hRule="atLeast"/>
        </w:trPr>
        <w:tc>
          <w:tcPr>
            <w:tcW w:w="0" w:type="auto"/>
            <w:vMerge w:val="continue"/>
            <w:tcBorders>
              <w:top w:val="nil"/>
              <w:left w:val="single" w:color="auto" w:sz="4" w:space="0"/>
              <w:bottom w:val="nil"/>
              <w:right w:val="single" w:color="auto" w:sz="4" w:space="0"/>
            </w:tcBorders>
            <w:vAlign w:val="center"/>
          </w:tcPr>
          <w:p w14:paraId="58755C28">
            <w:pPr>
              <w:widowControl/>
              <w:jc w:val="left"/>
              <w:rPr>
                <w:rFonts w:ascii="宋体" w:hAnsi="宋体" w:cs="宋体"/>
                <w:color w:val="000000"/>
                <w:kern w:val="0"/>
                <w:sz w:val="18"/>
                <w:szCs w:val="18"/>
              </w:rPr>
            </w:pPr>
          </w:p>
        </w:tc>
        <w:tc>
          <w:tcPr>
            <w:tcW w:w="0" w:type="auto"/>
            <w:vMerge w:val="continue"/>
            <w:tcBorders>
              <w:top w:val="nil"/>
              <w:left w:val="single" w:color="auto" w:sz="4" w:space="0"/>
              <w:bottom w:val="nil"/>
              <w:right w:val="single" w:color="auto" w:sz="4" w:space="0"/>
            </w:tcBorders>
            <w:vAlign w:val="center"/>
          </w:tcPr>
          <w:p w14:paraId="295D41E6">
            <w:pPr>
              <w:widowControl/>
              <w:jc w:val="left"/>
              <w:rPr>
                <w:rFonts w:ascii="宋体" w:hAnsi="宋体" w:cs="宋体"/>
                <w:color w:val="000000"/>
                <w:kern w:val="0"/>
                <w:sz w:val="18"/>
                <w:szCs w:val="18"/>
              </w:rPr>
            </w:pPr>
          </w:p>
        </w:tc>
        <w:tc>
          <w:tcPr>
            <w:tcW w:w="0" w:type="auto"/>
            <w:vMerge w:val="continue"/>
            <w:tcBorders>
              <w:top w:val="nil"/>
              <w:left w:val="single" w:color="auto" w:sz="4" w:space="0"/>
              <w:bottom w:val="nil"/>
              <w:right w:val="single" w:color="auto" w:sz="4" w:space="0"/>
            </w:tcBorders>
            <w:vAlign w:val="center"/>
          </w:tcPr>
          <w:p w14:paraId="79B5E673">
            <w:pPr>
              <w:widowControl/>
              <w:jc w:val="left"/>
              <w:rPr>
                <w:rFonts w:ascii="宋体" w:hAnsi="宋体" w:cs="宋体"/>
                <w:color w:val="000000"/>
                <w:kern w:val="0"/>
                <w:sz w:val="18"/>
                <w:szCs w:val="18"/>
              </w:rPr>
            </w:pPr>
          </w:p>
        </w:tc>
        <w:tc>
          <w:tcPr>
            <w:tcW w:w="0" w:type="auto"/>
            <w:tcBorders>
              <w:top w:val="single" w:color="auto" w:sz="4" w:space="0"/>
              <w:left w:val="nil"/>
              <w:bottom w:val="nil"/>
              <w:right w:val="single" w:color="auto" w:sz="4" w:space="0"/>
            </w:tcBorders>
            <w:shd w:val="clear" w:color="auto" w:fill="auto"/>
            <w:vAlign w:val="center"/>
          </w:tcPr>
          <w:p w14:paraId="5256B81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压力管道委托检验数量</w:t>
            </w:r>
          </w:p>
        </w:tc>
        <w:tc>
          <w:tcPr>
            <w:tcW w:w="0" w:type="auto"/>
            <w:tcBorders>
              <w:top w:val="single" w:color="auto" w:sz="4" w:space="0"/>
              <w:left w:val="nil"/>
              <w:bottom w:val="nil"/>
              <w:right w:val="single" w:color="auto" w:sz="4" w:space="0"/>
            </w:tcBorders>
            <w:shd w:val="clear" w:color="auto" w:fill="auto"/>
            <w:vAlign w:val="center"/>
          </w:tcPr>
          <w:p w14:paraId="63E072C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正向</w:t>
            </w:r>
          </w:p>
        </w:tc>
        <w:tc>
          <w:tcPr>
            <w:tcW w:w="0" w:type="auto"/>
            <w:tcBorders>
              <w:top w:val="single" w:color="auto" w:sz="4" w:space="0"/>
              <w:left w:val="nil"/>
              <w:bottom w:val="nil"/>
              <w:right w:val="single" w:color="auto" w:sz="4" w:space="0"/>
            </w:tcBorders>
            <w:shd w:val="clear" w:color="auto" w:fill="auto"/>
            <w:vAlign w:val="center"/>
          </w:tcPr>
          <w:p w14:paraId="349F961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大于等于</w:t>
            </w:r>
          </w:p>
        </w:tc>
        <w:tc>
          <w:tcPr>
            <w:tcW w:w="0" w:type="auto"/>
            <w:tcBorders>
              <w:top w:val="single" w:color="auto" w:sz="4" w:space="0"/>
              <w:left w:val="nil"/>
              <w:bottom w:val="nil"/>
              <w:right w:val="single" w:color="auto" w:sz="4" w:space="0"/>
            </w:tcBorders>
            <w:shd w:val="clear" w:color="auto" w:fill="auto"/>
            <w:vAlign w:val="center"/>
          </w:tcPr>
          <w:p w14:paraId="694D650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60</w:t>
            </w:r>
          </w:p>
        </w:tc>
        <w:tc>
          <w:tcPr>
            <w:tcW w:w="0" w:type="auto"/>
            <w:tcBorders>
              <w:top w:val="single" w:color="auto" w:sz="4" w:space="0"/>
              <w:left w:val="nil"/>
              <w:bottom w:val="nil"/>
              <w:right w:val="single" w:color="auto" w:sz="4" w:space="0"/>
            </w:tcBorders>
            <w:shd w:val="clear" w:color="auto" w:fill="auto"/>
            <w:vAlign w:val="center"/>
          </w:tcPr>
          <w:p w14:paraId="592A206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116.9</w:t>
            </w:r>
          </w:p>
        </w:tc>
        <w:tc>
          <w:tcPr>
            <w:tcW w:w="0" w:type="auto"/>
            <w:tcBorders>
              <w:top w:val="single" w:color="auto" w:sz="4" w:space="0"/>
              <w:left w:val="nil"/>
              <w:bottom w:val="nil"/>
              <w:right w:val="single" w:color="auto" w:sz="4" w:space="0"/>
            </w:tcBorders>
            <w:shd w:val="clear" w:color="auto" w:fill="auto"/>
            <w:vAlign w:val="center"/>
          </w:tcPr>
          <w:p w14:paraId="402ACFB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公里</w:t>
            </w:r>
          </w:p>
        </w:tc>
        <w:tc>
          <w:tcPr>
            <w:tcW w:w="0" w:type="auto"/>
            <w:tcBorders>
              <w:top w:val="single" w:color="auto" w:sz="4" w:space="0"/>
              <w:left w:val="nil"/>
              <w:bottom w:val="nil"/>
              <w:right w:val="single" w:color="auto" w:sz="4" w:space="0"/>
            </w:tcBorders>
            <w:shd w:val="clear" w:color="auto" w:fill="auto"/>
            <w:vAlign w:val="center"/>
          </w:tcPr>
          <w:p w14:paraId="45704CD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auto" w:sz="4" w:space="0"/>
              <w:left w:val="nil"/>
              <w:bottom w:val="nil"/>
              <w:right w:val="single" w:color="auto" w:sz="4" w:space="0"/>
            </w:tcBorders>
            <w:shd w:val="clear" w:color="auto" w:fill="auto"/>
            <w:vAlign w:val="center"/>
          </w:tcPr>
          <w:p w14:paraId="0040C36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auto" w:sz="4" w:space="0"/>
              <w:left w:val="nil"/>
              <w:bottom w:val="nil"/>
              <w:right w:val="single" w:color="auto" w:sz="4" w:space="0"/>
            </w:tcBorders>
            <w:shd w:val="clear" w:color="auto" w:fill="auto"/>
            <w:vAlign w:val="center"/>
          </w:tcPr>
          <w:p w14:paraId="4F94099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591668E9">
        <w:tblPrEx>
          <w:tblCellMar>
            <w:top w:w="0" w:type="dxa"/>
            <w:left w:w="108" w:type="dxa"/>
            <w:bottom w:w="0" w:type="dxa"/>
            <w:right w:w="108" w:type="dxa"/>
          </w:tblCellMar>
        </w:tblPrEx>
        <w:trPr>
          <w:trHeight w:val="840" w:hRule="atLeast"/>
        </w:trPr>
        <w:tc>
          <w:tcPr>
            <w:tcW w:w="0" w:type="auto"/>
            <w:vMerge w:val="continue"/>
            <w:tcBorders>
              <w:top w:val="nil"/>
              <w:left w:val="single" w:color="auto" w:sz="4" w:space="0"/>
              <w:bottom w:val="nil"/>
              <w:right w:val="single" w:color="auto" w:sz="4" w:space="0"/>
            </w:tcBorders>
            <w:vAlign w:val="center"/>
          </w:tcPr>
          <w:p w14:paraId="450D59B4">
            <w:pPr>
              <w:widowControl/>
              <w:jc w:val="left"/>
              <w:rPr>
                <w:rFonts w:ascii="宋体" w:hAnsi="宋体" w:cs="宋体"/>
                <w:color w:val="000000"/>
                <w:kern w:val="0"/>
                <w:sz w:val="18"/>
                <w:szCs w:val="18"/>
              </w:rPr>
            </w:pPr>
          </w:p>
        </w:tc>
        <w:tc>
          <w:tcPr>
            <w:tcW w:w="0" w:type="auto"/>
            <w:vMerge w:val="continue"/>
            <w:tcBorders>
              <w:top w:val="nil"/>
              <w:left w:val="single" w:color="auto" w:sz="4" w:space="0"/>
              <w:bottom w:val="nil"/>
              <w:right w:val="single" w:color="auto" w:sz="4" w:space="0"/>
            </w:tcBorders>
            <w:vAlign w:val="center"/>
          </w:tcPr>
          <w:p w14:paraId="2C37321F">
            <w:pPr>
              <w:widowControl/>
              <w:jc w:val="left"/>
              <w:rPr>
                <w:rFonts w:ascii="宋体" w:hAnsi="宋体" w:cs="宋体"/>
                <w:color w:val="000000"/>
                <w:kern w:val="0"/>
                <w:sz w:val="18"/>
                <w:szCs w:val="18"/>
              </w:rPr>
            </w:pPr>
          </w:p>
        </w:tc>
        <w:tc>
          <w:tcPr>
            <w:tcW w:w="0" w:type="auto"/>
            <w:vMerge w:val="restart"/>
            <w:tcBorders>
              <w:top w:val="single" w:color="auto" w:sz="4" w:space="0"/>
              <w:left w:val="single" w:color="auto" w:sz="4" w:space="0"/>
              <w:bottom w:val="nil"/>
              <w:right w:val="single" w:color="auto" w:sz="4" w:space="0"/>
            </w:tcBorders>
            <w:shd w:val="clear" w:color="auto" w:fill="auto"/>
            <w:vAlign w:val="center"/>
          </w:tcPr>
          <w:p w14:paraId="5C8AA00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质量指标</w:t>
            </w:r>
          </w:p>
        </w:tc>
        <w:tc>
          <w:tcPr>
            <w:tcW w:w="0" w:type="auto"/>
            <w:tcBorders>
              <w:top w:val="single" w:color="auto" w:sz="4" w:space="0"/>
              <w:left w:val="nil"/>
              <w:bottom w:val="nil"/>
              <w:right w:val="single" w:color="auto" w:sz="4" w:space="0"/>
            </w:tcBorders>
            <w:shd w:val="clear" w:color="auto" w:fill="auto"/>
            <w:vAlign w:val="center"/>
          </w:tcPr>
          <w:p w14:paraId="4D2A4BC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委托检测报告出具率</w:t>
            </w:r>
          </w:p>
        </w:tc>
        <w:tc>
          <w:tcPr>
            <w:tcW w:w="0" w:type="auto"/>
            <w:tcBorders>
              <w:top w:val="single" w:color="auto" w:sz="4" w:space="0"/>
              <w:left w:val="nil"/>
              <w:bottom w:val="nil"/>
              <w:right w:val="single" w:color="auto" w:sz="4" w:space="0"/>
            </w:tcBorders>
            <w:shd w:val="clear" w:color="auto" w:fill="auto"/>
            <w:vAlign w:val="center"/>
          </w:tcPr>
          <w:p w14:paraId="6AA9778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正向</w:t>
            </w:r>
          </w:p>
        </w:tc>
        <w:tc>
          <w:tcPr>
            <w:tcW w:w="0" w:type="auto"/>
            <w:tcBorders>
              <w:top w:val="single" w:color="auto" w:sz="4" w:space="0"/>
              <w:left w:val="nil"/>
              <w:bottom w:val="nil"/>
              <w:right w:val="single" w:color="auto" w:sz="4" w:space="0"/>
            </w:tcBorders>
            <w:shd w:val="clear" w:color="auto" w:fill="auto"/>
            <w:vAlign w:val="center"/>
          </w:tcPr>
          <w:p w14:paraId="025AF09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等于</w:t>
            </w:r>
          </w:p>
        </w:tc>
        <w:tc>
          <w:tcPr>
            <w:tcW w:w="0" w:type="auto"/>
            <w:tcBorders>
              <w:top w:val="single" w:color="auto" w:sz="4" w:space="0"/>
              <w:left w:val="nil"/>
              <w:bottom w:val="nil"/>
              <w:right w:val="single" w:color="auto" w:sz="4" w:space="0"/>
            </w:tcBorders>
            <w:shd w:val="clear" w:color="auto" w:fill="auto"/>
            <w:vAlign w:val="center"/>
          </w:tcPr>
          <w:p w14:paraId="75CC074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0" w:type="auto"/>
            <w:tcBorders>
              <w:top w:val="single" w:color="auto" w:sz="4" w:space="0"/>
              <w:left w:val="nil"/>
              <w:bottom w:val="nil"/>
              <w:right w:val="single" w:color="auto" w:sz="4" w:space="0"/>
            </w:tcBorders>
            <w:shd w:val="clear" w:color="auto" w:fill="auto"/>
            <w:vAlign w:val="center"/>
          </w:tcPr>
          <w:p w14:paraId="2F3FFA6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0" w:type="auto"/>
            <w:tcBorders>
              <w:top w:val="single" w:color="auto" w:sz="4" w:space="0"/>
              <w:left w:val="nil"/>
              <w:bottom w:val="nil"/>
              <w:right w:val="single" w:color="auto" w:sz="4" w:space="0"/>
            </w:tcBorders>
            <w:shd w:val="clear" w:color="auto" w:fill="auto"/>
            <w:vAlign w:val="center"/>
          </w:tcPr>
          <w:p w14:paraId="4475F01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single" w:color="auto" w:sz="4" w:space="0"/>
              <w:left w:val="nil"/>
              <w:bottom w:val="nil"/>
              <w:right w:val="single" w:color="auto" w:sz="4" w:space="0"/>
            </w:tcBorders>
            <w:shd w:val="clear" w:color="auto" w:fill="auto"/>
            <w:vAlign w:val="center"/>
          </w:tcPr>
          <w:p w14:paraId="7B88CF2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auto" w:sz="4" w:space="0"/>
              <w:left w:val="nil"/>
              <w:bottom w:val="nil"/>
              <w:right w:val="single" w:color="auto" w:sz="4" w:space="0"/>
            </w:tcBorders>
            <w:shd w:val="clear" w:color="auto" w:fill="auto"/>
            <w:vAlign w:val="center"/>
          </w:tcPr>
          <w:p w14:paraId="4A7F6CA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auto" w:sz="4" w:space="0"/>
              <w:left w:val="nil"/>
              <w:bottom w:val="nil"/>
              <w:right w:val="single" w:color="auto" w:sz="4" w:space="0"/>
            </w:tcBorders>
            <w:shd w:val="clear" w:color="auto" w:fill="auto"/>
            <w:vAlign w:val="center"/>
          </w:tcPr>
          <w:p w14:paraId="1578DF2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093CAB6C">
        <w:tblPrEx>
          <w:tblCellMar>
            <w:top w:w="0" w:type="dxa"/>
            <w:left w:w="108" w:type="dxa"/>
            <w:bottom w:w="0" w:type="dxa"/>
            <w:right w:w="108" w:type="dxa"/>
          </w:tblCellMar>
        </w:tblPrEx>
        <w:trPr>
          <w:trHeight w:val="840" w:hRule="atLeast"/>
        </w:trPr>
        <w:tc>
          <w:tcPr>
            <w:tcW w:w="0" w:type="auto"/>
            <w:vMerge w:val="continue"/>
            <w:tcBorders>
              <w:top w:val="nil"/>
              <w:left w:val="single" w:color="auto" w:sz="4" w:space="0"/>
              <w:bottom w:val="nil"/>
              <w:right w:val="single" w:color="auto" w:sz="4" w:space="0"/>
            </w:tcBorders>
            <w:vAlign w:val="center"/>
          </w:tcPr>
          <w:p w14:paraId="4BC388E3">
            <w:pPr>
              <w:widowControl/>
              <w:jc w:val="left"/>
              <w:rPr>
                <w:rFonts w:ascii="宋体" w:hAnsi="宋体" w:cs="宋体"/>
                <w:color w:val="000000"/>
                <w:kern w:val="0"/>
                <w:sz w:val="18"/>
                <w:szCs w:val="18"/>
              </w:rPr>
            </w:pPr>
          </w:p>
        </w:tc>
        <w:tc>
          <w:tcPr>
            <w:tcW w:w="0" w:type="auto"/>
            <w:vMerge w:val="continue"/>
            <w:tcBorders>
              <w:top w:val="nil"/>
              <w:left w:val="single" w:color="auto" w:sz="4" w:space="0"/>
              <w:bottom w:val="nil"/>
              <w:right w:val="single" w:color="auto" w:sz="4" w:space="0"/>
            </w:tcBorders>
            <w:vAlign w:val="center"/>
          </w:tcPr>
          <w:p w14:paraId="276748EE">
            <w:pPr>
              <w:widowControl/>
              <w:jc w:val="left"/>
              <w:rPr>
                <w:rFonts w:ascii="宋体" w:hAnsi="宋体" w:cs="宋体"/>
                <w:color w:val="000000"/>
                <w:kern w:val="0"/>
                <w:sz w:val="18"/>
                <w:szCs w:val="18"/>
              </w:rPr>
            </w:pPr>
          </w:p>
        </w:tc>
        <w:tc>
          <w:tcPr>
            <w:tcW w:w="0" w:type="auto"/>
            <w:vMerge w:val="continue"/>
            <w:tcBorders>
              <w:top w:val="single" w:color="auto" w:sz="4" w:space="0"/>
              <w:left w:val="single" w:color="auto" w:sz="4" w:space="0"/>
              <w:bottom w:val="nil"/>
              <w:right w:val="single" w:color="auto" w:sz="4" w:space="0"/>
            </w:tcBorders>
            <w:vAlign w:val="center"/>
          </w:tcPr>
          <w:p w14:paraId="40658B7B">
            <w:pPr>
              <w:widowControl/>
              <w:jc w:val="left"/>
              <w:rPr>
                <w:rFonts w:ascii="宋体" w:hAnsi="宋体" w:cs="宋体"/>
                <w:color w:val="000000"/>
                <w:kern w:val="0"/>
                <w:sz w:val="18"/>
                <w:szCs w:val="18"/>
              </w:rPr>
            </w:pPr>
          </w:p>
        </w:tc>
        <w:tc>
          <w:tcPr>
            <w:tcW w:w="0" w:type="auto"/>
            <w:tcBorders>
              <w:top w:val="single" w:color="auto" w:sz="4" w:space="0"/>
              <w:left w:val="nil"/>
              <w:bottom w:val="nil"/>
              <w:right w:val="single" w:color="auto" w:sz="4" w:space="0"/>
            </w:tcBorders>
            <w:shd w:val="clear" w:color="auto" w:fill="auto"/>
            <w:vAlign w:val="center"/>
          </w:tcPr>
          <w:p w14:paraId="12A4D04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报告合格率</w:t>
            </w:r>
          </w:p>
        </w:tc>
        <w:tc>
          <w:tcPr>
            <w:tcW w:w="0" w:type="auto"/>
            <w:tcBorders>
              <w:top w:val="single" w:color="auto" w:sz="4" w:space="0"/>
              <w:left w:val="nil"/>
              <w:bottom w:val="nil"/>
              <w:right w:val="single" w:color="auto" w:sz="4" w:space="0"/>
            </w:tcBorders>
            <w:shd w:val="clear" w:color="auto" w:fill="auto"/>
            <w:vAlign w:val="center"/>
          </w:tcPr>
          <w:p w14:paraId="57D7823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正向</w:t>
            </w:r>
          </w:p>
        </w:tc>
        <w:tc>
          <w:tcPr>
            <w:tcW w:w="0" w:type="auto"/>
            <w:tcBorders>
              <w:top w:val="single" w:color="auto" w:sz="4" w:space="0"/>
              <w:left w:val="nil"/>
              <w:bottom w:val="nil"/>
              <w:right w:val="single" w:color="auto" w:sz="4" w:space="0"/>
            </w:tcBorders>
            <w:shd w:val="clear" w:color="auto" w:fill="auto"/>
            <w:vAlign w:val="center"/>
          </w:tcPr>
          <w:p w14:paraId="01AB884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大于等于</w:t>
            </w:r>
          </w:p>
        </w:tc>
        <w:tc>
          <w:tcPr>
            <w:tcW w:w="0" w:type="auto"/>
            <w:tcBorders>
              <w:top w:val="single" w:color="auto" w:sz="4" w:space="0"/>
              <w:left w:val="nil"/>
              <w:bottom w:val="nil"/>
              <w:right w:val="single" w:color="auto" w:sz="4" w:space="0"/>
            </w:tcBorders>
            <w:shd w:val="clear" w:color="auto" w:fill="auto"/>
            <w:vAlign w:val="center"/>
          </w:tcPr>
          <w:p w14:paraId="2C9878F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98</w:t>
            </w:r>
          </w:p>
        </w:tc>
        <w:tc>
          <w:tcPr>
            <w:tcW w:w="0" w:type="auto"/>
            <w:tcBorders>
              <w:top w:val="single" w:color="auto" w:sz="4" w:space="0"/>
              <w:left w:val="nil"/>
              <w:bottom w:val="nil"/>
              <w:right w:val="single" w:color="auto" w:sz="4" w:space="0"/>
            </w:tcBorders>
            <w:shd w:val="clear" w:color="auto" w:fill="auto"/>
            <w:vAlign w:val="center"/>
          </w:tcPr>
          <w:p w14:paraId="70648B4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98</w:t>
            </w:r>
          </w:p>
        </w:tc>
        <w:tc>
          <w:tcPr>
            <w:tcW w:w="0" w:type="auto"/>
            <w:tcBorders>
              <w:top w:val="single" w:color="auto" w:sz="4" w:space="0"/>
              <w:left w:val="nil"/>
              <w:bottom w:val="nil"/>
              <w:right w:val="single" w:color="auto" w:sz="4" w:space="0"/>
            </w:tcBorders>
            <w:shd w:val="clear" w:color="auto" w:fill="auto"/>
            <w:vAlign w:val="center"/>
          </w:tcPr>
          <w:p w14:paraId="5C3FBF1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single" w:color="auto" w:sz="4" w:space="0"/>
              <w:left w:val="nil"/>
              <w:bottom w:val="nil"/>
              <w:right w:val="single" w:color="auto" w:sz="4" w:space="0"/>
            </w:tcBorders>
            <w:shd w:val="clear" w:color="auto" w:fill="auto"/>
            <w:vAlign w:val="center"/>
          </w:tcPr>
          <w:p w14:paraId="1493AED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auto" w:sz="4" w:space="0"/>
              <w:left w:val="nil"/>
              <w:bottom w:val="nil"/>
              <w:right w:val="single" w:color="auto" w:sz="4" w:space="0"/>
            </w:tcBorders>
            <w:shd w:val="clear" w:color="auto" w:fill="auto"/>
            <w:vAlign w:val="center"/>
          </w:tcPr>
          <w:p w14:paraId="00A7A99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auto" w:sz="4" w:space="0"/>
              <w:left w:val="nil"/>
              <w:bottom w:val="nil"/>
              <w:right w:val="single" w:color="auto" w:sz="4" w:space="0"/>
            </w:tcBorders>
            <w:shd w:val="clear" w:color="auto" w:fill="auto"/>
            <w:vAlign w:val="center"/>
          </w:tcPr>
          <w:p w14:paraId="3B21581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071F1389">
        <w:tblPrEx>
          <w:tblCellMar>
            <w:top w:w="0" w:type="dxa"/>
            <w:left w:w="108" w:type="dxa"/>
            <w:bottom w:w="0" w:type="dxa"/>
            <w:right w:w="108" w:type="dxa"/>
          </w:tblCellMar>
        </w:tblPrEx>
        <w:trPr>
          <w:trHeight w:val="840" w:hRule="atLeast"/>
        </w:trPr>
        <w:tc>
          <w:tcPr>
            <w:tcW w:w="0" w:type="auto"/>
            <w:vMerge w:val="continue"/>
            <w:tcBorders>
              <w:top w:val="nil"/>
              <w:left w:val="single" w:color="auto" w:sz="4" w:space="0"/>
              <w:bottom w:val="nil"/>
              <w:right w:val="single" w:color="auto" w:sz="4" w:space="0"/>
            </w:tcBorders>
            <w:vAlign w:val="center"/>
          </w:tcPr>
          <w:p w14:paraId="7788F6FE">
            <w:pPr>
              <w:widowControl/>
              <w:jc w:val="left"/>
              <w:rPr>
                <w:rFonts w:ascii="宋体" w:hAnsi="宋体" w:cs="宋体"/>
                <w:color w:val="000000"/>
                <w:kern w:val="0"/>
                <w:sz w:val="18"/>
                <w:szCs w:val="18"/>
              </w:rPr>
            </w:pPr>
          </w:p>
        </w:tc>
        <w:tc>
          <w:tcPr>
            <w:tcW w:w="0" w:type="auto"/>
            <w:vMerge w:val="continue"/>
            <w:tcBorders>
              <w:top w:val="nil"/>
              <w:left w:val="single" w:color="auto" w:sz="4" w:space="0"/>
              <w:bottom w:val="nil"/>
              <w:right w:val="single" w:color="auto" w:sz="4" w:space="0"/>
            </w:tcBorders>
            <w:vAlign w:val="center"/>
          </w:tcPr>
          <w:p w14:paraId="5C786748">
            <w:pPr>
              <w:widowControl/>
              <w:jc w:val="left"/>
              <w:rPr>
                <w:rFonts w:ascii="宋体" w:hAnsi="宋体" w:cs="宋体"/>
                <w:color w:val="000000"/>
                <w:kern w:val="0"/>
                <w:sz w:val="18"/>
                <w:szCs w:val="18"/>
              </w:rPr>
            </w:pPr>
          </w:p>
        </w:tc>
        <w:tc>
          <w:tcPr>
            <w:tcW w:w="0" w:type="auto"/>
            <w:vMerge w:val="continue"/>
            <w:tcBorders>
              <w:top w:val="single" w:color="auto" w:sz="4" w:space="0"/>
              <w:left w:val="single" w:color="auto" w:sz="4" w:space="0"/>
              <w:bottom w:val="nil"/>
              <w:right w:val="single" w:color="auto" w:sz="4" w:space="0"/>
            </w:tcBorders>
            <w:vAlign w:val="center"/>
          </w:tcPr>
          <w:p w14:paraId="121F1C7C">
            <w:pPr>
              <w:widowControl/>
              <w:jc w:val="left"/>
              <w:rPr>
                <w:rFonts w:ascii="宋体" w:hAnsi="宋体" w:cs="宋体"/>
                <w:color w:val="000000"/>
                <w:kern w:val="0"/>
                <w:sz w:val="18"/>
                <w:szCs w:val="18"/>
              </w:rPr>
            </w:pPr>
          </w:p>
        </w:tc>
        <w:tc>
          <w:tcPr>
            <w:tcW w:w="0" w:type="auto"/>
            <w:tcBorders>
              <w:top w:val="single" w:color="auto" w:sz="4" w:space="0"/>
              <w:left w:val="nil"/>
              <w:bottom w:val="nil"/>
              <w:right w:val="single" w:color="auto" w:sz="4" w:space="0"/>
            </w:tcBorders>
            <w:shd w:val="clear" w:color="auto" w:fill="auto"/>
            <w:vAlign w:val="center"/>
          </w:tcPr>
          <w:p w14:paraId="4E94870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采购业务验收合格率</w:t>
            </w:r>
          </w:p>
        </w:tc>
        <w:tc>
          <w:tcPr>
            <w:tcW w:w="0" w:type="auto"/>
            <w:tcBorders>
              <w:top w:val="single" w:color="auto" w:sz="4" w:space="0"/>
              <w:left w:val="nil"/>
              <w:bottom w:val="nil"/>
              <w:right w:val="single" w:color="auto" w:sz="4" w:space="0"/>
            </w:tcBorders>
            <w:shd w:val="clear" w:color="auto" w:fill="auto"/>
            <w:vAlign w:val="center"/>
          </w:tcPr>
          <w:p w14:paraId="330D0A6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正向</w:t>
            </w:r>
          </w:p>
        </w:tc>
        <w:tc>
          <w:tcPr>
            <w:tcW w:w="0" w:type="auto"/>
            <w:tcBorders>
              <w:top w:val="single" w:color="auto" w:sz="4" w:space="0"/>
              <w:left w:val="nil"/>
              <w:bottom w:val="nil"/>
              <w:right w:val="single" w:color="auto" w:sz="4" w:space="0"/>
            </w:tcBorders>
            <w:shd w:val="clear" w:color="auto" w:fill="auto"/>
            <w:vAlign w:val="center"/>
          </w:tcPr>
          <w:p w14:paraId="1655231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等于</w:t>
            </w:r>
          </w:p>
        </w:tc>
        <w:tc>
          <w:tcPr>
            <w:tcW w:w="0" w:type="auto"/>
            <w:tcBorders>
              <w:top w:val="single" w:color="auto" w:sz="4" w:space="0"/>
              <w:left w:val="nil"/>
              <w:bottom w:val="nil"/>
              <w:right w:val="single" w:color="auto" w:sz="4" w:space="0"/>
            </w:tcBorders>
            <w:shd w:val="clear" w:color="auto" w:fill="auto"/>
            <w:vAlign w:val="center"/>
          </w:tcPr>
          <w:p w14:paraId="5B2F944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0" w:type="auto"/>
            <w:tcBorders>
              <w:top w:val="single" w:color="auto" w:sz="4" w:space="0"/>
              <w:left w:val="nil"/>
              <w:bottom w:val="nil"/>
              <w:right w:val="single" w:color="auto" w:sz="4" w:space="0"/>
            </w:tcBorders>
            <w:shd w:val="clear" w:color="auto" w:fill="auto"/>
            <w:vAlign w:val="center"/>
          </w:tcPr>
          <w:p w14:paraId="4B59263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0" w:type="auto"/>
            <w:tcBorders>
              <w:top w:val="single" w:color="auto" w:sz="4" w:space="0"/>
              <w:left w:val="nil"/>
              <w:bottom w:val="nil"/>
              <w:right w:val="single" w:color="auto" w:sz="4" w:space="0"/>
            </w:tcBorders>
            <w:shd w:val="clear" w:color="auto" w:fill="auto"/>
            <w:vAlign w:val="center"/>
          </w:tcPr>
          <w:p w14:paraId="361CCAF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single" w:color="auto" w:sz="4" w:space="0"/>
              <w:left w:val="nil"/>
              <w:bottom w:val="nil"/>
              <w:right w:val="single" w:color="auto" w:sz="4" w:space="0"/>
            </w:tcBorders>
            <w:shd w:val="clear" w:color="auto" w:fill="auto"/>
            <w:vAlign w:val="center"/>
          </w:tcPr>
          <w:p w14:paraId="09A2AF7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auto" w:sz="4" w:space="0"/>
              <w:left w:val="nil"/>
              <w:bottom w:val="nil"/>
              <w:right w:val="single" w:color="auto" w:sz="4" w:space="0"/>
            </w:tcBorders>
            <w:shd w:val="clear" w:color="auto" w:fill="auto"/>
            <w:vAlign w:val="center"/>
          </w:tcPr>
          <w:p w14:paraId="4132EE6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auto" w:sz="4" w:space="0"/>
              <w:left w:val="nil"/>
              <w:bottom w:val="nil"/>
              <w:right w:val="single" w:color="auto" w:sz="4" w:space="0"/>
            </w:tcBorders>
            <w:shd w:val="clear" w:color="auto" w:fill="auto"/>
            <w:vAlign w:val="center"/>
          </w:tcPr>
          <w:p w14:paraId="59F0D4C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4401102A">
        <w:tblPrEx>
          <w:tblCellMar>
            <w:top w:w="0" w:type="dxa"/>
            <w:left w:w="108" w:type="dxa"/>
            <w:bottom w:w="0" w:type="dxa"/>
            <w:right w:w="108" w:type="dxa"/>
          </w:tblCellMar>
        </w:tblPrEx>
        <w:trPr>
          <w:trHeight w:val="840" w:hRule="atLeast"/>
        </w:trPr>
        <w:tc>
          <w:tcPr>
            <w:tcW w:w="0" w:type="auto"/>
            <w:vMerge w:val="continue"/>
            <w:tcBorders>
              <w:top w:val="nil"/>
              <w:left w:val="single" w:color="auto" w:sz="4" w:space="0"/>
              <w:bottom w:val="nil"/>
              <w:right w:val="single" w:color="auto" w:sz="4" w:space="0"/>
            </w:tcBorders>
            <w:vAlign w:val="center"/>
          </w:tcPr>
          <w:p w14:paraId="4E3D2850">
            <w:pPr>
              <w:widowControl/>
              <w:jc w:val="left"/>
              <w:rPr>
                <w:rFonts w:ascii="宋体" w:hAnsi="宋体" w:cs="宋体"/>
                <w:color w:val="000000"/>
                <w:kern w:val="0"/>
                <w:sz w:val="18"/>
                <w:szCs w:val="18"/>
              </w:rPr>
            </w:pPr>
          </w:p>
        </w:tc>
        <w:tc>
          <w:tcPr>
            <w:tcW w:w="0" w:type="auto"/>
            <w:vMerge w:val="continue"/>
            <w:tcBorders>
              <w:top w:val="nil"/>
              <w:left w:val="single" w:color="auto" w:sz="4" w:space="0"/>
              <w:bottom w:val="nil"/>
              <w:right w:val="single" w:color="auto" w:sz="4" w:space="0"/>
            </w:tcBorders>
            <w:vAlign w:val="center"/>
          </w:tcPr>
          <w:p w14:paraId="1B407216">
            <w:pPr>
              <w:widowControl/>
              <w:jc w:val="left"/>
              <w:rPr>
                <w:rFonts w:ascii="宋体" w:hAnsi="宋体" w:cs="宋体"/>
                <w:color w:val="000000"/>
                <w:kern w:val="0"/>
                <w:sz w:val="18"/>
                <w:szCs w:val="18"/>
              </w:rPr>
            </w:pPr>
          </w:p>
        </w:tc>
        <w:tc>
          <w:tcPr>
            <w:tcW w:w="0" w:type="auto"/>
            <w:vMerge w:val="continue"/>
            <w:tcBorders>
              <w:top w:val="single" w:color="auto" w:sz="4" w:space="0"/>
              <w:left w:val="single" w:color="auto" w:sz="4" w:space="0"/>
              <w:bottom w:val="nil"/>
              <w:right w:val="single" w:color="auto" w:sz="4" w:space="0"/>
            </w:tcBorders>
            <w:vAlign w:val="center"/>
          </w:tcPr>
          <w:p w14:paraId="1265747C">
            <w:pPr>
              <w:widowControl/>
              <w:jc w:val="left"/>
              <w:rPr>
                <w:rFonts w:ascii="宋体" w:hAnsi="宋体" w:cs="宋体"/>
                <w:color w:val="000000"/>
                <w:kern w:val="0"/>
                <w:sz w:val="18"/>
                <w:szCs w:val="18"/>
              </w:rPr>
            </w:pPr>
          </w:p>
        </w:tc>
        <w:tc>
          <w:tcPr>
            <w:tcW w:w="0" w:type="auto"/>
            <w:tcBorders>
              <w:top w:val="single" w:color="auto" w:sz="4" w:space="0"/>
              <w:left w:val="nil"/>
              <w:bottom w:val="nil"/>
              <w:right w:val="single" w:color="auto" w:sz="4" w:space="0"/>
            </w:tcBorders>
            <w:shd w:val="clear" w:color="auto" w:fill="auto"/>
            <w:vAlign w:val="center"/>
          </w:tcPr>
          <w:p w14:paraId="59327F4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房屋车辆及设备全年安全运行天数</w:t>
            </w:r>
          </w:p>
        </w:tc>
        <w:tc>
          <w:tcPr>
            <w:tcW w:w="0" w:type="auto"/>
            <w:tcBorders>
              <w:top w:val="single" w:color="auto" w:sz="4" w:space="0"/>
              <w:left w:val="nil"/>
              <w:bottom w:val="nil"/>
              <w:right w:val="single" w:color="auto" w:sz="4" w:space="0"/>
            </w:tcBorders>
            <w:shd w:val="clear" w:color="auto" w:fill="auto"/>
            <w:vAlign w:val="center"/>
          </w:tcPr>
          <w:p w14:paraId="0148C20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正向</w:t>
            </w:r>
          </w:p>
        </w:tc>
        <w:tc>
          <w:tcPr>
            <w:tcW w:w="0" w:type="auto"/>
            <w:tcBorders>
              <w:top w:val="single" w:color="auto" w:sz="4" w:space="0"/>
              <w:left w:val="nil"/>
              <w:bottom w:val="nil"/>
              <w:right w:val="single" w:color="auto" w:sz="4" w:space="0"/>
            </w:tcBorders>
            <w:shd w:val="clear" w:color="auto" w:fill="auto"/>
            <w:vAlign w:val="center"/>
          </w:tcPr>
          <w:p w14:paraId="5F4818C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大于等于</w:t>
            </w:r>
          </w:p>
        </w:tc>
        <w:tc>
          <w:tcPr>
            <w:tcW w:w="0" w:type="auto"/>
            <w:tcBorders>
              <w:top w:val="single" w:color="auto" w:sz="4" w:space="0"/>
              <w:left w:val="nil"/>
              <w:bottom w:val="nil"/>
              <w:right w:val="single" w:color="auto" w:sz="4" w:space="0"/>
            </w:tcBorders>
            <w:shd w:val="clear" w:color="auto" w:fill="auto"/>
            <w:vAlign w:val="center"/>
          </w:tcPr>
          <w:p w14:paraId="6BEA5CE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w:t>
            </w:r>
          </w:p>
        </w:tc>
        <w:tc>
          <w:tcPr>
            <w:tcW w:w="0" w:type="auto"/>
            <w:tcBorders>
              <w:top w:val="single" w:color="auto" w:sz="4" w:space="0"/>
              <w:left w:val="nil"/>
              <w:bottom w:val="nil"/>
              <w:right w:val="single" w:color="auto" w:sz="4" w:space="0"/>
            </w:tcBorders>
            <w:shd w:val="clear" w:color="auto" w:fill="auto"/>
            <w:vAlign w:val="center"/>
          </w:tcPr>
          <w:p w14:paraId="18FB2FD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w:t>
            </w:r>
          </w:p>
        </w:tc>
        <w:tc>
          <w:tcPr>
            <w:tcW w:w="0" w:type="auto"/>
            <w:tcBorders>
              <w:top w:val="single" w:color="auto" w:sz="4" w:space="0"/>
              <w:left w:val="nil"/>
              <w:bottom w:val="nil"/>
              <w:right w:val="single" w:color="auto" w:sz="4" w:space="0"/>
            </w:tcBorders>
            <w:shd w:val="clear" w:color="auto" w:fill="auto"/>
            <w:vAlign w:val="center"/>
          </w:tcPr>
          <w:p w14:paraId="7765F80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天</w:t>
            </w:r>
          </w:p>
        </w:tc>
        <w:tc>
          <w:tcPr>
            <w:tcW w:w="0" w:type="auto"/>
            <w:tcBorders>
              <w:top w:val="single" w:color="auto" w:sz="4" w:space="0"/>
              <w:left w:val="nil"/>
              <w:bottom w:val="nil"/>
              <w:right w:val="single" w:color="auto" w:sz="4" w:space="0"/>
            </w:tcBorders>
            <w:shd w:val="clear" w:color="auto" w:fill="auto"/>
            <w:vAlign w:val="center"/>
          </w:tcPr>
          <w:p w14:paraId="1DE930F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auto" w:sz="4" w:space="0"/>
              <w:left w:val="nil"/>
              <w:bottom w:val="nil"/>
              <w:right w:val="single" w:color="auto" w:sz="4" w:space="0"/>
            </w:tcBorders>
            <w:shd w:val="clear" w:color="auto" w:fill="auto"/>
            <w:vAlign w:val="center"/>
          </w:tcPr>
          <w:p w14:paraId="1608102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auto" w:sz="4" w:space="0"/>
              <w:left w:val="nil"/>
              <w:bottom w:val="nil"/>
              <w:right w:val="single" w:color="auto" w:sz="4" w:space="0"/>
            </w:tcBorders>
            <w:shd w:val="clear" w:color="auto" w:fill="auto"/>
            <w:vAlign w:val="center"/>
          </w:tcPr>
          <w:p w14:paraId="4E5F95C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3799B0C3">
        <w:tblPrEx>
          <w:tblCellMar>
            <w:top w:w="0" w:type="dxa"/>
            <w:left w:w="108" w:type="dxa"/>
            <w:bottom w:w="0" w:type="dxa"/>
            <w:right w:w="108" w:type="dxa"/>
          </w:tblCellMar>
        </w:tblPrEx>
        <w:trPr>
          <w:trHeight w:val="840" w:hRule="atLeast"/>
        </w:trPr>
        <w:tc>
          <w:tcPr>
            <w:tcW w:w="0" w:type="auto"/>
            <w:vMerge w:val="continue"/>
            <w:tcBorders>
              <w:top w:val="nil"/>
              <w:left w:val="single" w:color="auto" w:sz="4" w:space="0"/>
              <w:bottom w:val="nil"/>
              <w:right w:val="single" w:color="auto" w:sz="4" w:space="0"/>
            </w:tcBorders>
            <w:vAlign w:val="center"/>
          </w:tcPr>
          <w:p w14:paraId="77D5E92E">
            <w:pPr>
              <w:widowControl/>
              <w:jc w:val="left"/>
              <w:rPr>
                <w:rFonts w:ascii="宋体" w:hAnsi="宋体" w:cs="宋体"/>
                <w:color w:val="000000"/>
                <w:kern w:val="0"/>
                <w:sz w:val="18"/>
                <w:szCs w:val="18"/>
              </w:rPr>
            </w:pPr>
          </w:p>
        </w:tc>
        <w:tc>
          <w:tcPr>
            <w:tcW w:w="0" w:type="auto"/>
            <w:vMerge w:val="continue"/>
            <w:tcBorders>
              <w:top w:val="nil"/>
              <w:left w:val="single" w:color="auto" w:sz="4" w:space="0"/>
              <w:bottom w:val="nil"/>
              <w:right w:val="single" w:color="auto" w:sz="4" w:space="0"/>
            </w:tcBorders>
            <w:vAlign w:val="center"/>
          </w:tcPr>
          <w:p w14:paraId="645F8651">
            <w:pPr>
              <w:widowControl/>
              <w:jc w:val="left"/>
              <w:rPr>
                <w:rFonts w:ascii="宋体" w:hAnsi="宋体" w:cs="宋体"/>
                <w:color w:val="000000"/>
                <w:kern w:val="0"/>
                <w:sz w:val="18"/>
                <w:szCs w:val="18"/>
              </w:rPr>
            </w:pPr>
          </w:p>
        </w:tc>
        <w:tc>
          <w:tcPr>
            <w:tcW w:w="0" w:type="auto"/>
            <w:vMerge w:val="restart"/>
            <w:tcBorders>
              <w:top w:val="single" w:color="auto" w:sz="4" w:space="0"/>
              <w:left w:val="single" w:color="auto" w:sz="4" w:space="0"/>
              <w:bottom w:val="nil"/>
              <w:right w:val="single" w:color="auto" w:sz="4" w:space="0"/>
            </w:tcBorders>
            <w:shd w:val="clear" w:color="auto" w:fill="auto"/>
            <w:vAlign w:val="center"/>
          </w:tcPr>
          <w:p w14:paraId="3FB0ADF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时效指标</w:t>
            </w:r>
          </w:p>
        </w:tc>
        <w:tc>
          <w:tcPr>
            <w:tcW w:w="0" w:type="auto"/>
            <w:tcBorders>
              <w:top w:val="single" w:color="auto" w:sz="4" w:space="0"/>
              <w:left w:val="nil"/>
              <w:bottom w:val="nil"/>
              <w:right w:val="single" w:color="auto" w:sz="4" w:space="0"/>
            </w:tcBorders>
            <w:shd w:val="clear" w:color="auto" w:fill="auto"/>
            <w:vAlign w:val="center"/>
          </w:tcPr>
          <w:p w14:paraId="780E9CB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锅炉压力容器与特种设备委托检验任务完成时间</w:t>
            </w:r>
          </w:p>
        </w:tc>
        <w:tc>
          <w:tcPr>
            <w:tcW w:w="0" w:type="auto"/>
            <w:tcBorders>
              <w:top w:val="single" w:color="auto" w:sz="4" w:space="0"/>
              <w:left w:val="nil"/>
              <w:bottom w:val="nil"/>
              <w:right w:val="single" w:color="auto" w:sz="4" w:space="0"/>
            </w:tcBorders>
            <w:shd w:val="clear" w:color="auto" w:fill="auto"/>
            <w:vAlign w:val="center"/>
          </w:tcPr>
          <w:p w14:paraId="639F1D5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反向</w:t>
            </w:r>
          </w:p>
        </w:tc>
        <w:tc>
          <w:tcPr>
            <w:tcW w:w="0" w:type="auto"/>
            <w:tcBorders>
              <w:top w:val="single" w:color="auto" w:sz="4" w:space="0"/>
              <w:left w:val="nil"/>
              <w:bottom w:val="nil"/>
              <w:right w:val="single" w:color="auto" w:sz="4" w:space="0"/>
            </w:tcBorders>
            <w:shd w:val="clear" w:color="auto" w:fill="auto"/>
            <w:vAlign w:val="center"/>
          </w:tcPr>
          <w:p w14:paraId="6A34FB4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小于等于</w:t>
            </w:r>
          </w:p>
        </w:tc>
        <w:tc>
          <w:tcPr>
            <w:tcW w:w="0" w:type="auto"/>
            <w:tcBorders>
              <w:top w:val="single" w:color="auto" w:sz="4" w:space="0"/>
              <w:left w:val="nil"/>
              <w:bottom w:val="nil"/>
              <w:right w:val="single" w:color="auto" w:sz="4" w:space="0"/>
            </w:tcBorders>
            <w:shd w:val="clear" w:color="auto" w:fill="auto"/>
            <w:vAlign w:val="center"/>
          </w:tcPr>
          <w:p w14:paraId="0D99A65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0" w:type="auto"/>
            <w:tcBorders>
              <w:top w:val="single" w:color="auto" w:sz="4" w:space="0"/>
              <w:left w:val="nil"/>
              <w:bottom w:val="nil"/>
              <w:right w:val="single" w:color="auto" w:sz="4" w:space="0"/>
            </w:tcBorders>
            <w:shd w:val="clear" w:color="auto" w:fill="auto"/>
            <w:vAlign w:val="center"/>
          </w:tcPr>
          <w:p w14:paraId="5A90457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0" w:type="auto"/>
            <w:tcBorders>
              <w:top w:val="single" w:color="auto" w:sz="4" w:space="0"/>
              <w:left w:val="nil"/>
              <w:bottom w:val="nil"/>
              <w:right w:val="single" w:color="auto" w:sz="4" w:space="0"/>
            </w:tcBorders>
            <w:shd w:val="clear" w:color="auto" w:fill="auto"/>
            <w:vAlign w:val="center"/>
          </w:tcPr>
          <w:p w14:paraId="6BC657A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月</w:t>
            </w:r>
          </w:p>
        </w:tc>
        <w:tc>
          <w:tcPr>
            <w:tcW w:w="0" w:type="auto"/>
            <w:tcBorders>
              <w:top w:val="single" w:color="auto" w:sz="4" w:space="0"/>
              <w:left w:val="nil"/>
              <w:bottom w:val="nil"/>
              <w:right w:val="single" w:color="auto" w:sz="4" w:space="0"/>
            </w:tcBorders>
            <w:shd w:val="clear" w:color="auto" w:fill="auto"/>
            <w:vAlign w:val="center"/>
          </w:tcPr>
          <w:p w14:paraId="331D5E9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auto" w:sz="4" w:space="0"/>
              <w:left w:val="nil"/>
              <w:bottom w:val="nil"/>
              <w:right w:val="single" w:color="auto" w:sz="4" w:space="0"/>
            </w:tcBorders>
            <w:shd w:val="clear" w:color="auto" w:fill="auto"/>
            <w:vAlign w:val="center"/>
          </w:tcPr>
          <w:p w14:paraId="08C26DE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auto" w:sz="4" w:space="0"/>
              <w:left w:val="nil"/>
              <w:bottom w:val="nil"/>
              <w:right w:val="single" w:color="auto" w:sz="4" w:space="0"/>
            </w:tcBorders>
            <w:shd w:val="clear" w:color="auto" w:fill="auto"/>
            <w:vAlign w:val="center"/>
          </w:tcPr>
          <w:p w14:paraId="25FEB60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68F34A76">
        <w:tblPrEx>
          <w:tblCellMar>
            <w:top w:w="0" w:type="dxa"/>
            <w:left w:w="108" w:type="dxa"/>
            <w:bottom w:w="0" w:type="dxa"/>
            <w:right w:w="108" w:type="dxa"/>
          </w:tblCellMar>
        </w:tblPrEx>
        <w:trPr>
          <w:trHeight w:val="840" w:hRule="atLeast"/>
        </w:trPr>
        <w:tc>
          <w:tcPr>
            <w:tcW w:w="0" w:type="auto"/>
            <w:vMerge w:val="continue"/>
            <w:tcBorders>
              <w:top w:val="nil"/>
              <w:left w:val="single" w:color="auto" w:sz="4" w:space="0"/>
              <w:bottom w:val="nil"/>
              <w:right w:val="single" w:color="auto" w:sz="4" w:space="0"/>
            </w:tcBorders>
            <w:vAlign w:val="center"/>
          </w:tcPr>
          <w:p w14:paraId="1E1F059A">
            <w:pPr>
              <w:widowControl/>
              <w:jc w:val="left"/>
              <w:rPr>
                <w:rFonts w:ascii="宋体" w:hAnsi="宋体" w:cs="宋体"/>
                <w:color w:val="000000"/>
                <w:kern w:val="0"/>
                <w:sz w:val="18"/>
                <w:szCs w:val="18"/>
              </w:rPr>
            </w:pPr>
          </w:p>
        </w:tc>
        <w:tc>
          <w:tcPr>
            <w:tcW w:w="0" w:type="auto"/>
            <w:vMerge w:val="continue"/>
            <w:tcBorders>
              <w:top w:val="nil"/>
              <w:left w:val="single" w:color="auto" w:sz="4" w:space="0"/>
              <w:bottom w:val="nil"/>
              <w:right w:val="single" w:color="auto" w:sz="4" w:space="0"/>
            </w:tcBorders>
            <w:vAlign w:val="center"/>
          </w:tcPr>
          <w:p w14:paraId="2726B9D7">
            <w:pPr>
              <w:widowControl/>
              <w:jc w:val="left"/>
              <w:rPr>
                <w:rFonts w:ascii="宋体" w:hAnsi="宋体" w:cs="宋体"/>
                <w:color w:val="000000"/>
                <w:kern w:val="0"/>
                <w:sz w:val="18"/>
                <w:szCs w:val="18"/>
              </w:rPr>
            </w:pPr>
          </w:p>
        </w:tc>
        <w:tc>
          <w:tcPr>
            <w:tcW w:w="0" w:type="auto"/>
            <w:vMerge w:val="continue"/>
            <w:tcBorders>
              <w:top w:val="single" w:color="auto" w:sz="4" w:space="0"/>
              <w:left w:val="single" w:color="auto" w:sz="4" w:space="0"/>
              <w:bottom w:val="nil"/>
              <w:right w:val="single" w:color="auto" w:sz="4" w:space="0"/>
            </w:tcBorders>
            <w:vAlign w:val="center"/>
          </w:tcPr>
          <w:p w14:paraId="13B43F3B">
            <w:pPr>
              <w:widowControl/>
              <w:jc w:val="left"/>
              <w:rPr>
                <w:rFonts w:ascii="宋体" w:hAnsi="宋体" w:cs="宋体"/>
                <w:color w:val="000000"/>
                <w:kern w:val="0"/>
                <w:sz w:val="18"/>
                <w:szCs w:val="18"/>
              </w:rPr>
            </w:pPr>
          </w:p>
        </w:tc>
        <w:tc>
          <w:tcPr>
            <w:tcW w:w="0" w:type="auto"/>
            <w:tcBorders>
              <w:top w:val="single" w:color="auto" w:sz="4" w:space="0"/>
              <w:left w:val="nil"/>
              <w:bottom w:val="nil"/>
              <w:right w:val="single" w:color="auto" w:sz="4" w:space="0"/>
            </w:tcBorders>
            <w:shd w:val="clear" w:color="auto" w:fill="auto"/>
            <w:vAlign w:val="center"/>
          </w:tcPr>
          <w:p w14:paraId="04EA70E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委托检测报告出具时间</w:t>
            </w:r>
          </w:p>
        </w:tc>
        <w:tc>
          <w:tcPr>
            <w:tcW w:w="0" w:type="auto"/>
            <w:tcBorders>
              <w:top w:val="single" w:color="auto" w:sz="4" w:space="0"/>
              <w:left w:val="nil"/>
              <w:bottom w:val="nil"/>
              <w:right w:val="single" w:color="auto" w:sz="4" w:space="0"/>
            </w:tcBorders>
            <w:shd w:val="clear" w:color="auto" w:fill="auto"/>
            <w:vAlign w:val="center"/>
          </w:tcPr>
          <w:p w14:paraId="30FA502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反向</w:t>
            </w:r>
          </w:p>
        </w:tc>
        <w:tc>
          <w:tcPr>
            <w:tcW w:w="0" w:type="auto"/>
            <w:tcBorders>
              <w:top w:val="single" w:color="auto" w:sz="4" w:space="0"/>
              <w:left w:val="nil"/>
              <w:bottom w:val="nil"/>
              <w:right w:val="single" w:color="auto" w:sz="4" w:space="0"/>
            </w:tcBorders>
            <w:shd w:val="clear" w:color="auto" w:fill="auto"/>
            <w:vAlign w:val="center"/>
          </w:tcPr>
          <w:p w14:paraId="0DE1697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小于等于</w:t>
            </w:r>
          </w:p>
        </w:tc>
        <w:tc>
          <w:tcPr>
            <w:tcW w:w="0" w:type="auto"/>
            <w:tcBorders>
              <w:top w:val="single" w:color="auto" w:sz="4" w:space="0"/>
              <w:left w:val="nil"/>
              <w:bottom w:val="nil"/>
              <w:right w:val="single" w:color="auto" w:sz="4" w:space="0"/>
            </w:tcBorders>
            <w:shd w:val="clear" w:color="auto" w:fill="auto"/>
            <w:vAlign w:val="center"/>
          </w:tcPr>
          <w:p w14:paraId="1B96F14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w:t>
            </w:r>
          </w:p>
        </w:tc>
        <w:tc>
          <w:tcPr>
            <w:tcW w:w="0" w:type="auto"/>
            <w:tcBorders>
              <w:top w:val="single" w:color="auto" w:sz="4" w:space="0"/>
              <w:left w:val="nil"/>
              <w:bottom w:val="nil"/>
              <w:right w:val="single" w:color="auto" w:sz="4" w:space="0"/>
            </w:tcBorders>
            <w:shd w:val="clear" w:color="auto" w:fill="auto"/>
            <w:vAlign w:val="center"/>
          </w:tcPr>
          <w:p w14:paraId="08B26FA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w:t>
            </w:r>
          </w:p>
        </w:tc>
        <w:tc>
          <w:tcPr>
            <w:tcW w:w="0" w:type="auto"/>
            <w:tcBorders>
              <w:top w:val="single" w:color="auto" w:sz="4" w:space="0"/>
              <w:left w:val="nil"/>
              <w:bottom w:val="nil"/>
              <w:right w:val="single" w:color="auto" w:sz="4" w:space="0"/>
            </w:tcBorders>
            <w:shd w:val="clear" w:color="auto" w:fill="auto"/>
            <w:vAlign w:val="center"/>
          </w:tcPr>
          <w:p w14:paraId="407345F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工作日</w:t>
            </w:r>
          </w:p>
        </w:tc>
        <w:tc>
          <w:tcPr>
            <w:tcW w:w="0" w:type="auto"/>
            <w:tcBorders>
              <w:top w:val="single" w:color="auto" w:sz="4" w:space="0"/>
              <w:left w:val="nil"/>
              <w:bottom w:val="nil"/>
              <w:right w:val="single" w:color="auto" w:sz="4" w:space="0"/>
            </w:tcBorders>
            <w:shd w:val="clear" w:color="auto" w:fill="auto"/>
            <w:vAlign w:val="center"/>
          </w:tcPr>
          <w:p w14:paraId="21501A2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auto" w:sz="4" w:space="0"/>
              <w:left w:val="nil"/>
              <w:bottom w:val="nil"/>
              <w:right w:val="single" w:color="auto" w:sz="4" w:space="0"/>
            </w:tcBorders>
            <w:shd w:val="clear" w:color="auto" w:fill="auto"/>
            <w:vAlign w:val="center"/>
          </w:tcPr>
          <w:p w14:paraId="19091D7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auto" w:sz="4" w:space="0"/>
              <w:left w:val="nil"/>
              <w:bottom w:val="nil"/>
              <w:right w:val="single" w:color="auto" w:sz="4" w:space="0"/>
            </w:tcBorders>
            <w:shd w:val="clear" w:color="auto" w:fill="auto"/>
            <w:vAlign w:val="center"/>
          </w:tcPr>
          <w:p w14:paraId="0DBB63E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4E1C8329">
        <w:tblPrEx>
          <w:tblCellMar>
            <w:top w:w="0" w:type="dxa"/>
            <w:left w:w="108" w:type="dxa"/>
            <w:bottom w:w="0" w:type="dxa"/>
            <w:right w:w="108" w:type="dxa"/>
          </w:tblCellMar>
        </w:tblPrEx>
        <w:trPr>
          <w:trHeight w:val="840" w:hRule="atLeast"/>
        </w:trPr>
        <w:tc>
          <w:tcPr>
            <w:tcW w:w="0" w:type="auto"/>
            <w:vMerge w:val="continue"/>
            <w:tcBorders>
              <w:top w:val="nil"/>
              <w:left w:val="single" w:color="auto" w:sz="4" w:space="0"/>
              <w:bottom w:val="nil"/>
              <w:right w:val="single" w:color="auto" w:sz="4" w:space="0"/>
            </w:tcBorders>
            <w:vAlign w:val="center"/>
          </w:tcPr>
          <w:p w14:paraId="587C72A6">
            <w:pPr>
              <w:widowControl/>
              <w:jc w:val="left"/>
              <w:rPr>
                <w:rFonts w:ascii="宋体" w:hAnsi="宋体" w:cs="宋体"/>
                <w:color w:val="000000"/>
                <w:kern w:val="0"/>
                <w:sz w:val="18"/>
                <w:szCs w:val="18"/>
              </w:rPr>
            </w:pPr>
          </w:p>
        </w:tc>
        <w:tc>
          <w:tcPr>
            <w:tcW w:w="0" w:type="auto"/>
            <w:vMerge w:val="continue"/>
            <w:tcBorders>
              <w:top w:val="nil"/>
              <w:left w:val="single" w:color="auto" w:sz="4" w:space="0"/>
              <w:bottom w:val="nil"/>
              <w:right w:val="single" w:color="auto" w:sz="4" w:space="0"/>
            </w:tcBorders>
            <w:vAlign w:val="center"/>
          </w:tcPr>
          <w:p w14:paraId="394725B8">
            <w:pPr>
              <w:widowControl/>
              <w:jc w:val="left"/>
              <w:rPr>
                <w:rFonts w:ascii="宋体" w:hAnsi="宋体" w:cs="宋体"/>
                <w:color w:val="000000"/>
                <w:kern w:val="0"/>
                <w:sz w:val="18"/>
                <w:szCs w:val="18"/>
              </w:rPr>
            </w:pPr>
          </w:p>
        </w:tc>
        <w:tc>
          <w:tcPr>
            <w:tcW w:w="0" w:type="auto"/>
            <w:vMerge w:val="continue"/>
            <w:tcBorders>
              <w:top w:val="single" w:color="auto" w:sz="4" w:space="0"/>
              <w:left w:val="single" w:color="auto" w:sz="4" w:space="0"/>
              <w:bottom w:val="nil"/>
              <w:right w:val="single" w:color="auto" w:sz="4" w:space="0"/>
            </w:tcBorders>
            <w:vAlign w:val="center"/>
          </w:tcPr>
          <w:p w14:paraId="797ECE65">
            <w:pPr>
              <w:widowControl/>
              <w:jc w:val="left"/>
              <w:rPr>
                <w:rFonts w:ascii="宋体" w:hAnsi="宋体" w:cs="宋体"/>
                <w:color w:val="000000"/>
                <w:kern w:val="0"/>
                <w:sz w:val="18"/>
                <w:szCs w:val="18"/>
              </w:rPr>
            </w:pPr>
          </w:p>
        </w:tc>
        <w:tc>
          <w:tcPr>
            <w:tcW w:w="0" w:type="auto"/>
            <w:tcBorders>
              <w:top w:val="single" w:color="auto" w:sz="4" w:space="0"/>
              <w:left w:val="nil"/>
              <w:bottom w:val="nil"/>
              <w:right w:val="single" w:color="auto" w:sz="4" w:space="0"/>
            </w:tcBorders>
            <w:shd w:val="clear" w:color="auto" w:fill="auto"/>
            <w:vAlign w:val="center"/>
          </w:tcPr>
          <w:p w14:paraId="10C0EEA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房屋车辆及设备维护维修响应时间</w:t>
            </w:r>
          </w:p>
        </w:tc>
        <w:tc>
          <w:tcPr>
            <w:tcW w:w="0" w:type="auto"/>
            <w:tcBorders>
              <w:top w:val="single" w:color="auto" w:sz="4" w:space="0"/>
              <w:left w:val="nil"/>
              <w:bottom w:val="nil"/>
              <w:right w:val="single" w:color="auto" w:sz="4" w:space="0"/>
            </w:tcBorders>
            <w:shd w:val="clear" w:color="auto" w:fill="auto"/>
            <w:vAlign w:val="center"/>
          </w:tcPr>
          <w:p w14:paraId="548F6CB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反向</w:t>
            </w:r>
          </w:p>
        </w:tc>
        <w:tc>
          <w:tcPr>
            <w:tcW w:w="0" w:type="auto"/>
            <w:tcBorders>
              <w:top w:val="single" w:color="auto" w:sz="4" w:space="0"/>
              <w:left w:val="nil"/>
              <w:bottom w:val="nil"/>
              <w:right w:val="single" w:color="auto" w:sz="4" w:space="0"/>
            </w:tcBorders>
            <w:shd w:val="clear" w:color="auto" w:fill="auto"/>
            <w:vAlign w:val="center"/>
          </w:tcPr>
          <w:p w14:paraId="1D4B1E6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小于等于</w:t>
            </w:r>
          </w:p>
        </w:tc>
        <w:tc>
          <w:tcPr>
            <w:tcW w:w="0" w:type="auto"/>
            <w:tcBorders>
              <w:top w:val="single" w:color="auto" w:sz="4" w:space="0"/>
              <w:left w:val="nil"/>
              <w:bottom w:val="nil"/>
              <w:right w:val="single" w:color="auto" w:sz="4" w:space="0"/>
            </w:tcBorders>
            <w:shd w:val="clear" w:color="auto" w:fill="auto"/>
            <w:vAlign w:val="center"/>
          </w:tcPr>
          <w:p w14:paraId="65D9E81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auto" w:sz="4" w:space="0"/>
              <w:left w:val="nil"/>
              <w:bottom w:val="nil"/>
              <w:right w:val="single" w:color="auto" w:sz="4" w:space="0"/>
            </w:tcBorders>
            <w:shd w:val="clear" w:color="auto" w:fill="auto"/>
            <w:vAlign w:val="center"/>
          </w:tcPr>
          <w:p w14:paraId="73A9038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auto" w:sz="4" w:space="0"/>
              <w:left w:val="nil"/>
              <w:bottom w:val="nil"/>
              <w:right w:val="single" w:color="auto" w:sz="4" w:space="0"/>
            </w:tcBorders>
            <w:shd w:val="clear" w:color="auto" w:fill="auto"/>
            <w:vAlign w:val="center"/>
          </w:tcPr>
          <w:p w14:paraId="35F86D9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小时</w:t>
            </w:r>
          </w:p>
        </w:tc>
        <w:tc>
          <w:tcPr>
            <w:tcW w:w="0" w:type="auto"/>
            <w:tcBorders>
              <w:top w:val="single" w:color="auto" w:sz="4" w:space="0"/>
              <w:left w:val="nil"/>
              <w:bottom w:val="nil"/>
              <w:right w:val="single" w:color="auto" w:sz="4" w:space="0"/>
            </w:tcBorders>
            <w:shd w:val="clear" w:color="auto" w:fill="auto"/>
            <w:vAlign w:val="center"/>
          </w:tcPr>
          <w:p w14:paraId="1690175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auto" w:sz="4" w:space="0"/>
              <w:left w:val="nil"/>
              <w:bottom w:val="nil"/>
              <w:right w:val="single" w:color="auto" w:sz="4" w:space="0"/>
            </w:tcBorders>
            <w:shd w:val="clear" w:color="auto" w:fill="auto"/>
            <w:vAlign w:val="center"/>
          </w:tcPr>
          <w:p w14:paraId="30DC18E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auto" w:sz="4" w:space="0"/>
              <w:left w:val="nil"/>
              <w:bottom w:val="nil"/>
              <w:right w:val="single" w:color="auto" w:sz="4" w:space="0"/>
            </w:tcBorders>
            <w:shd w:val="clear" w:color="auto" w:fill="auto"/>
            <w:vAlign w:val="center"/>
          </w:tcPr>
          <w:p w14:paraId="06B44DE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2EB54B90">
        <w:tblPrEx>
          <w:tblCellMar>
            <w:top w:w="0" w:type="dxa"/>
            <w:left w:w="108" w:type="dxa"/>
            <w:bottom w:w="0" w:type="dxa"/>
            <w:right w:w="108" w:type="dxa"/>
          </w:tblCellMar>
        </w:tblPrEx>
        <w:trPr>
          <w:trHeight w:val="840" w:hRule="atLeast"/>
        </w:trPr>
        <w:tc>
          <w:tcPr>
            <w:tcW w:w="0" w:type="auto"/>
            <w:vMerge w:val="continue"/>
            <w:tcBorders>
              <w:top w:val="nil"/>
              <w:left w:val="single" w:color="auto" w:sz="4" w:space="0"/>
              <w:bottom w:val="nil"/>
              <w:right w:val="single" w:color="auto" w:sz="4" w:space="0"/>
            </w:tcBorders>
            <w:vAlign w:val="center"/>
          </w:tcPr>
          <w:p w14:paraId="36E08E3E">
            <w:pPr>
              <w:widowControl/>
              <w:jc w:val="left"/>
              <w:rPr>
                <w:rFonts w:ascii="宋体" w:hAnsi="宋体" w:cs="宋体"/>
                <w:color w:val="000000"/>
                <w:kern w:val="0"/>
                <w:sz w:val="18"/>
                <w:szCs w:val="18"/>
              </w:rPr>
            </w:pPr>
          </w:p>
        </w:tc>
        <w:tc>
          <w:tcPr>
            <w:tcW w:w="0" w:type="auto"/>
            <w:vMerge w:val="continue"/>
            <w:tcBorders>
              <w:top w:val="nil"/>
              <w:left w:val="single" w:color="auto" w:sz="4" w:space="0"/>
              <w:bottom w:val="nil"/>
              <w:right w:val="single" w:color="auto" w:sz="4" w:space="0"/>
            </w:tcBorders>
            <w:vAlign w:val="center"/>
          </w:tcPr>
          <w:p w14:paraId="5FBDABE6">
            <w:pPr>
              <w:widowControl/>
              <w:jc w:val="left"/>
              <w:rPr>
                <w:rFonts w:ascii="宋体" w:hAnsi="宋体" w:cs="宋体"/>
                <w:color w:val="000000"/>
                <w:kern w:val="0"/>
                <w:sz w:val="18"/>
                <w:szCs w:val="18"/>
              </w:rPr>
            </w:pPr>
          </w:p>
        </w:tc>
        <w:tc>
          <w:tcPr>
            <w:tcW w:w="0" w:type="auto"/>
            <w:tcBorders>
              <w:top w:val="single" w:color="auto" w:sz="4" w:space="0"/>
              <w:left w:val="nil"/>
              <w:bottom w:val="nil"/>
              <w:right w:val="single" w:color="auto" w:sz="4" w:space="0"/>
            </w:tcBorders>
            <w:shd w:val="clear" w:color="auto" w:fill="auto"/>
            <w:vAlign w:val="center"/>
          </w:tcPr>
          <w:p w14:paraId="0A788C6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成本指标</w:t>
            </w:r>
          </w:p>
        </w:tc>
        <w:tc>
          <w:tcPr>
            <w:tcW w:w="0" w:type="auto"/>
            <w:tcBorders>
              <w:top w:val="single" w:color="auto" w:sz="4" w:space="0"/>
              <w:left w:val="nil"/>
              <w:bottom w:val="nil"/>
              <w:right w:val="single" w:color="auto" w:sz="4" w:space="0"/>
            </w:tcBorders>
            <w:shd w:val="clear" w:color="auto" w:fill="auto"/>
            <w:vAlign w:val="center"/>
          </w:tcPr>
          <w:p w14:paraId="4DAFB3F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锅炉压力容器与特种设备委托检验成本</w:t>
            </w:r>
          </w:p>
        </w:tc>
        <w:tc>
          <w:tcPr>
            <w:tcW w:w="0" w:type="auto"/>
            <w:tcBorders>
              <w:top w:val="single" w:color="auto" w:sz="4" w:space="0"/>
              <w:left w:val="nil"/>
              <w:bottom w:val="nil"/>
              <w:right w:val="single" w:color="auto" w:sz="4" w:space="0"/>
            </w:tcBorders>
            <w:shd w:val="clear" w:color="auto" w:fill="auto"/>
            <w:vAlign w:val="center"/>
          </w:tcPr>
          <w:p w14:paraId="6899104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反向</w:t>
            </w:r>
          </w:p>
        </w:tc>
        <w:tc>
          <w:tcPr>
            <w:tcW w:w="0" w:type="auto"/>
            <w:tcBorders>
              <w:top w:val="single" w:color="auto" w:sz="4" w:space="0"/>
              <w:left w:val="nil"/>
              <w:bottom w:val="nil"/>
              <w:right w:val="single" w:color="auto" w:sz="4" w:space="0"/>
            </w:tcBorders>
            <w:shd w:val="clear" w:color="auto" w:fill="auto"/>
            <w:vAlign w:val="center"/>
          </w:tcPr>
          <w:p w14:paraId="5312816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小于等于</w:t>
            </w:r>
          </w:p>
        </w:tc>
        <w:tc>
          <w:tcPr>
            <w:tcW w:w="0" w:type="auto"/>
            <w:tcBorders>
              <w:top w:val="single" w:color="auto" w:sz="4" w:space="0"/>
              <w:left w:val="nil"/>
              <w:bottom w:val="nil"/>
              <w:right w:val="single" w:color="auto" w:sz="4" w:space="0"/>
            </w:tcBorders>
            <w:shd w:val="clear" w:color="auto" w:fill="auto"/>
            <w:vAlign w:val="center"/>
          </w:tcPr>
          <w:p w14:paraId="07FB582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1360</w:t>
            </w:r>
          </w:p>
        </w:tc>
        <w:tc>
          <w:tcPr>
            <w:tcW w:w="0" w:type="auto"/>
            <w:tcBorders>
              <w:top w:val="single" w:color="auto" w:sz="4" w:space="0"/>
              <w:left w:val="nil"/>
              <w:bottom w:val="nil"/>
              <w:right w:val="single" w:color="auto" w:sz="4" w:space="0"/>
            </w:tcBorders>
            <w:shd w:val="clear" w:color="auto" w:fill="auto"/>
            <w:vAlign w:val="center"/>
          </w:tcPr>
          <w:p w14:paraId="5071ED8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1028.66</w:t>
            </w:r>
          </w:p>
        </w:tc>
        <w:tc>
          <w:tcPr>
            <w:tcW w:w="0" w:type="auto"/>
            <w:tcBorders>
              <w:top w:val="single" w:color="auto" w:sz="4" w:space="0"/>
              <w:left w:val="nil"/>
              <w:bottom w:val="nil"/>
              <w:right w:val="single" w:color="auto" w:sz="4" w:space="0"/>
            </w:tcBorders>
            <w:shd w:val="clear" w:color="auto" w:fill="auto"/>
            <w:vAlign w:val="center"/>
          </w:tcPr>
          <w:p w14:paraId="3DB1CBE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0" w:type="auto"/>
            <w:tcBorders>
              <w:top w:val="single" w:color="auto" w:sz="4" w:space="0"/>
              <w:left w:val="nil"/>
              <w:bottom w:val="nil"/>
              <w:right w:val="single" w:color="auto" w:sz="4" w:space="0"/>
            </w:tcBorders>
            <w:shd w:val="clear" w:color="auto" w:fill="auto"/>
            <w:vAlign w:val="center"/>
          </w:tcPr>
          <w:p w14:paraId="68E731E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0" w:type="auto"/>
            <w:tcBorders>
              <w:top w:val="single" w:color="auto" w:sz="4" w:space="0"/>
              <w:left w:val="nil"/>
              <w:bottom w:val="nil"/>
              <w:right w:val="single" w:color="auto" w:sz="4" w:space="0"/>
            </w:tcBorders>
            <w:shd w:val="clear" w:color="auto" w:fill="auto"/>
            <w:vAlign w:val="center"/>
          </w:tcPr>
          <w:p w14:paraId="0873645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0" w:type="auto"/>
            <w:tcBorders>
              <w:top w:val="single" w:color="auto" w:sz="4" w:space="0"/>
              <w:left w:val="nil"/>
              <w:bottom w:val="nil"/>
              <w:right w:val="single" w:color="auto" w:sz="4" w:space="0"/>
            </w:tcBorders>
            <w:shd w:val="clear" w:color="auto" w:fill="auto"/>
            <w:vAlign w:val="center"/>
          </w:tcPr>
          <w:p w14:paraId="4DDCE7C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075BC8A3">
        <w:tblPrEx>
          <w:tblCellMar>
            <w:top w:w="0" w:type="dxa"/>
            <w:left w:w="108" w:type="dxa"/>
            <w:bottom w:w="0" w:type="dxa"/>
            <w:right w:w="108" w:type="dxa"/>
          </w:tblCellMar>
        </w:tblPrEx>
        <w:trPr>
          <w:trHeight w:val="840" w:hRule="atLeast"/>
        </w:trPr>
        <w:tc>
          <w:tcPr>
            <w:tcW w:w="0" w:type="auto"/>
            <w:vMerge w:val="continue"/>
            <w:tcBorders>
              <w:top w:val="nil"/>
              <w:left w:val="single" w:color="auto" w:sz="4" w:space="0"/>
              <w:bottom w:val="nil"/>
              <w:right w:val="single" w:color="auto" w:sz="4" w:space="0"/>
            </w:tcBorders>
            <w:vAlign w:val="center"/>
          </w:tcPr>
          <w:p w14:paraId="7C208D9A">
            <w:pPr>
              <w:widowControl/>
              <w:jc w:val="left"/>
              <w:rPr>
                <w:rFonts w:ascii="宋体" w:hAnsi="宋体" w:cs="宋体"/>
                <w:color w:val="000000"/>
                <w:kern w:val="0"/>
                <w:sz w:val="18"/>
                <w:szCs w:val="18"/>
              </w:rPr>
            </w:pPr>
          </w:p>
        </w:tc>
        <w:tc>
          <w:tcPr>
            <w:tcW w:w="0" w:type="auto"/>
            <w:vMerge w:val="restart"/>
            <w:tcBorders>
              <w:top w:val="single" w:color="auto" w:sz="4" w:space="0"/>
              <w:left w:val="single" w:color="auto" w:sz="4" w:space="0"/>
              <w:bottom w:val="nil"/>
              <w:right w:val="single" w:color="auto" w:sz="4" w:space="0"/>
            </w:tcBorders>
            <w:shd w:val="clear" w:color="auto" w:fill="auto"/>
            <w:vAlign w:val="center"/>
          </w:tcPr>
          <w:p w14:paraId="07E5594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效益指标</w:t>
            </w:r>
          </w:p>
        </w:tc>
        <w:tc>
          <w:tcPr>
            <w:tcW w:w="0" w:type="auto"/>
            <w:vMerge w:val="restart"/>
            <w:tcBorders>
              <w:top w:val="single" w:color="auto" w:sz="4" w:space="0"/>
              <w:left w:val="single" w:color="auto" w:sz="4" w:space="0"/>
              <w:bottom w:val="nil"/>
              <w:right w:val="single" w:color="auto" w:sz="4" w:space="0"/>
            </w:tcBorders>
            <w:shd w:val="clear" w:color="auto" w:fill="auto"/>
            <w:vAlign w:val="center"/>
          </w:tcPr>
          <w:p w14:paraId="049F279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社会效益</w:t>
            </w:r>
          </w:p>
        </w:tc>
        <w:tc>
          <w:tcPr>
            <w:tcW w:w="0" w:type="auto"/>
            <w:tcBorders>
              <w:top w:val="single" w:color="auto" w:sz="4" w:space="0"/>
              <w:left w:val="nil"/>
              <w:bottom w:val="nil"/>
              <w:right w:val="single" w:color="auto" w:sz="4" w:space="0"/>
            </w:tcBorders>
            <w:shd w:val="clear" w:color="auto" w:fill="auto"/>
            <w:vAlign w:val="center"/>
          </w:tcPr>
          <w:p w14:paraId="68BF0FD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为特种设备安全运行提供保障</w:t>
            </w:r>
          </w:p>
        </w:tc>
        <w:tc>
          <w:tcPr>
            <w:tcW w:w="0" w:type="auto"/>
            <w:tcBorders>
              <w:top w:val="single" w:color="auto" w:sz="4" w:space="0"/>
              <w:left w:val="nil"/>
              <w:bottom w:val="nil"/>
              <w:right w:val="single" w:color="auto" w:sz="4" w:space="0"/>
            </w:tcBorders>
            <w:shd w:val="clear" w:color="auto" w:fill="auto"/>
            <w:vAlign w:val="center"/>
          </w:tcPr>
          <w:p w14:paraId="04D0981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定性</w:t>
            </w:r>
          </w:p>
        </w:tc>
        <w:tc>
          <w:tcPr>
            <w:tcW w:w="0" w:type="auto"/>
            <w:tcBorders>
              <w:top w:val="single" w:color="auto" w:sz="4" w:space="0"/>
              <w:left w:val="nil"/>
              <w:bottom w:val="nil"/>
              <w:right w:val="single" w:color="auto" w:sz="4" w:space="0"/>
            </w:tcBorders>
            <w:shd w:val="clear" w:color="auto" w:fill="auto"/>
            <w:vAlign w:val="center"/>
          </w:tcPr>
          <w:p w14:paraId="51672EB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single" w:color="auto" w:sz="4" w:space="0"/>
              <w:left w:val="nil"/>
              <w:bottom w:val="nil"/>
              <w:right w:val="single" w:color="auto" w:sz="4" w:space="0"/>
            </w:tcBorders>
            <w:shd w:val="clear" w:color="auto" w:fill="auto"/>
            <w:vAlign w:val="center"/>
          </w:tcPr>
          <w:p w14:paraId="7E77776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稳步提高</w:t>
            </w:r>
          </w:p>
        </w:tc>
        <w:tc>
          <w:tcPr>
            <w:tcW w:w="0" w:type="auto"/>
            <w:tcBorders>
              <w:top w:val="single" w:color="auto" w:sz="4" w:space="0"/>
              <w:left w:val="nil"/>
              <w:bottom w:val="nil"/>
              <w:right w:val="single" w:color="auto" w:sz="4" w:space="0"/>
            </w:tcBorders>
            <w:shd w:val="clear" w:color="auto" w:fill="auto"/>
            <w:vAlign w:val="center"/>
          </w:tcPr>
          <w:p w14:paraId="482C4CE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稳步提高</w:t>
            </w:r>
          </w:p>
        </w:tc>
        <w:tc>
          <w:tcPr>
            <w:tcW w:w="0" w:type="auto"/>
            <w:tcBorders>
              <w:top w:val="single" w:color="auto" w:sz="4" w:space="0"/>
              <w:left w:val="nil"/>
              <w:bottom w:val="nil"/>
              <w:right w:val="single" w:color="auto" w:sz="4" w:space="0"/>
            </w:tcBorders>
            <w:shd w:val="clear" w:color="auto" w:fill="auto"/>
            <w:vAlign w:val="center"/>
          </w:tcPr>
          <w:p w14:paraId="668E693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single" w:color="auto" w:sz="4" w:space="0"/>
              <w:left w:val="nil"/>
              <w:bottom w:val="nil"/>
              <w:right w:val="single" w:color="auto" w:sz="4" w:space="0"/>
            </w:tcBorders>
            <w:shd w:val="clear" w:color="auto" w:fill="auto"/>
            <w:vAlign w:val="center"/>
          </w:tcPr>
          <w:p w14:paraId="0067718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0" w:type="auto"/>
            <w:tcBorders>
              <w:top w:val="single" w:color="auto" w:sz="4" w:space="0"/>
              <w:left w:val="nil"/>
              <w:bottom w:val="nil"/>
              <w:right w:val="single" w:color="auto" w:sz="4" w:space="0"/>
            </w:tcBorders>
            <w:shd w:val="clear" w:color="auto" w:fill="auto"/>
            <w:vAlign w:val="center"/>
          </w:tcPr>
          <w:p w14:paraId="1B79DB0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0" w:type="auto"/>
            <w:tcBorders>
              <w:top w:val="single" w:color="auto" w:sz="4" w:space="0"/>
              <w:left w:val="nil"/>
              <w:bottom w:val="nil"/>
              <w:right w:val="single" w:color="auto" w:sz="4" w:space="0"/>
            </w:tcBorders>
            <w:shd w:val="clear" w:color="auto" w:fill="auto"/>
            <w:vAlign w:val="center"/>
          </w:tcPr>
          <w:p w14:paraId="2CD520E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3A46B212">
        <w:tblPrEx>
          <w:tblCellMar>
            <w:top w:w="0" w:type="dxa"/>
            <w:left w:w="108" w:type="dxa"/>
            <w:bottom w:w="0" w:type="dxa"/>
            <w:right w:w="108" w:type="dxa"/>
          </w:tblCellMar>
        </w:tblPrEx>
        <w:trPr>
          <w:trHeight w:val="840" w:hRule="atLeast"/>
        </w:trPr>
        <w:tc>
          <w:tcPr>
            <w:tcW w:w="0" w:type="auto"/>
            <w:vMerge w:val="continue"/>
            <w:tcBorders>
              <w:top w:val="nil"/>
              <w:left w:val="single" w:color="auto" w:sz="4" w:space="0"/>
              <w:bottom w:val="nil"/>
              <w:right w:val="single" w:color="auto" w:sz="4" w:space="0"/>
            </w:tcBorders>
            <w:vAlign w:val="center"/>
          </w:tcPr>
          <w:p w14:paraId="672CC7B7">
            <w:pPr>
              <w:widowControl/>
              <w:jc w:val="left"/>
              <w:rPr>
                <w:rFonts w:ascii="宋体" w:hAnsi="宋体" w:cs="宋体"/>
                <w:color w:val="000000"/>
                <w:kern w:val="0"/>
                <w:sz w:val="18"/>
                <w:szCs w:val="18"/>
              </w:rPr>
            </w:pPr>
          </w:p>
        </w:tc>
        <w:tc>
          <w:tcPr>
            <w:tcW w:w="0" w:type="auto"/>
            <w:vMerge w:val="continue"/>
            <w:tcBorders>
              <w:top w:val="single" w:color="auto" w:sz="4" w:space="0"/>
              <w:left w:val="single" w:color="auto" w:sz="4" w:space="0"/>
              <w:bottom w:val="nil"/>
              <w:right w:val="single" w:color="auto" w:sz="4" w:space="0"/>
            </w:tcBorders>
            <w:vAlign w:val="center"/>
          </w:tcPr>
          <w:p w14:paraId="3BF6A1A8">
            <w:pPr>
              <w:widowControl/>
              <w:jc w:val="left"/>
              <w:rPr>
                <w:rFonts w:ascii="宋体" w:hAnsi="宋体" w:cs="宋体"/>
                <w:color w:val="000000"/>
                <w:kern w:val="0"/>
                <w:sz w:val="18"/>
                <w:szCs w:val="18"/>
              </w:rPr>
            </w:pPr>
          </w:p>
        </w:tc>
        <w:tc>
          <w:tcPr>
            <w:tcW w:w="0" w:type="auto"/>
            <w:vMerge w:val="continue"/>
            <w:tcBorders>
              <w:top w:val="single" w:color="auto" w:sz="4" w:space="0"/>
              <w:left w:val="single" w:color="auto" w:sz="4" w:space="0"/>
              <w:bottom w:val="nil"/>
              <w:right w:val="single" w:color="auto" w:sz="4" w:space="0"/>
            </w:tcBorders>
            <w:vAlign w:val="center"/>
          </w:tcPr>
          <w:p w14:paraId="7FA46C44">
            <w:pPr>
              <w:widowControl/>
              <w:jc w:val="left"/>
              <w:rPr>
                <w:rFonts w:ascii="宋体" w:hAnsi="宋体" w:cs="宋体"/>
                <w:color w:val="000000"/>
                <w:kern w:val="0"/>
                <w:sz w:val="18"/>
                <w:szCs w:val="18"/>
              </w:rPr>
            </w:pPr>
          </w:p>
        </w:tc>
        <w:tc>
          <w:tcPr>
            <w:tcW w:w="0" w:type="auto"/>
            <w:tcBorders>
              <w:top w:val="single" w:color="auto" w:sz="4" w:space="0"/>
              <w:left w:val="nil"/>
              <w:bottom w:val="nil"/>
              <w:right w:val="single" w:color="auto" w:sz="4" w:space="0"/>
            </w:tcBorders>
            <w:shd w:val="clear" w:color="auto" w:fill="auto"/>
            <w:vAlign w:val="center"/>
          </w:tcPr>
          <w:p w14:paraId="61DA5C6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特种设备使用单位安全意识</w:t>
            </w:r>
          </w:p>
        </w:tc>
        <w:tc>
          <w:tcPr>
            <w:tcW w:w="0" w:type="auto"/>
            <w:tcBorders>
              <w:top w:val="single" w:color="auto" w:sz="4" w:space="0"/>
              <w:left w:val="nil"/>
              <w:bottom w:val="nil"/>
              <w:right w:val="single" w:color="auto" w:sz="4" w:space="0"/>
            </w:tcBorders>
            <w:shd w:val="clear" w:color="auto" w:fill="auto"/>
            <w:vAlign w:val="center"/>
          </w:tcPr>
          <w:p w14:paraId="11186E7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定性</w:t>
            </w:r>
          </w:p>
        </w:tc>
        <w:tc>
          <w:tcPr>
            <w:tcW w:w="0" w:type="auto"/>
            <w:tcBorders>
              <w:top w:val="single" w:color="auto" w:sz="4" w:space="0"/>
              <w:left w:val="nil"/>
              <w:bottom w:val="nil"/>
              <w:right w:val="single" w:color="auto" w:sz="4" w:space="0"/>
            </w:tcBorders>
            <w:shd w:val="clear" w:color="auto" w:fill="auto"/>
            <w:vAlign w:val="center"/>
          </w:tcPr>
          <w:p w14:paraId="715336F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single" w:color="auto" w:sz="4" w:space="0"/>
              <w:left w:val="nil"/>
              <w:bottom w:val="nil"/>
              <w:right w:val="single" w:color="auto" w:sz="4" w:space="0"/>
            </w:tcBorders>
            <w:shd w:val="clear" w:color="auto" w:fill="auto"/>
            <w:vAlign w:val="center"/>
          </w:tcPr>
          <w:p w14:paraId="2070196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稳步提高</w:t>
            </w:r>
          </w:p>
        </w:tc>
        <w:tc>
          <w:tcPr>
            <w:tcW w:w="0" w:type="auto"/>
            <w:tcBorders>
              <w:top w:val="single" w:color="auto" w:sz="4" w:space="0"/>
              <w:left w:val="nil"/>
              <w:bottom w:val="nil"/>
              <w:right w:val="single" w:color="auto" w:sz="4" w:space="0"/>
            </w:tcBorders>
            <w:shd w:val="clear" w:color="auto" w:fill="auto"/>
            <w:vAlign w:val="center"/>
          </w:tcPr>
          <w:p w14:paraId="078BCB3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稳步提高</w:t>
            </w:r>
          </w:p>
        </w:tc>
        <w:tc>
          <w:tcPr>
            <w:tcW w:w="0" w:type="auto"/>
            <w:tcBorders>
              <w:top w:val="single" w:color="auto" w:sz="4" w:space="0"/>
              <w:left w:val="nil"/>
              <w:bottom w:val="nil"/>
              <w:right w:val="single" w:color="auto" w:sz="4" w:space="0"/>
            </w:tcBorders>
            <w:shd w:val="clear" w:color="auto" w:fill="auto"/>
            <w:vAlign w:val="center"/>
          </w:tcPr>
          <w:p w14:paraId="18FF5F9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single" w:color="auto" w:sz="4" w:space="0"/>
              <w:left w:val="nil"/>
              <w:bottom w:val="nil"/>
              <w:right w:val="single" w:color="auto" w:sz="4" w:space="0"/>
            </w:tcBorders>
            <w:shd w:val="clear" w:color="auto" w:fill="auto"/>
            <w:vAlign w:val="center"/>
          </w:tcPr>
          <w:p w14:paraId="1803B5B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0" w:type="auto"/>
            <w:tcBorders>
              <w:top w:val="single" w:color="auto" w:sz="4" w:space="0"/>
              <w:left w:val="nil"/>
              <w:bottom w:val="nil"/>
              <w:right w:val="single" w:color="auto" w:sz="4" w:space="0"/>
            </w:tcBorders>
            <w:shd w:val="clear" w:color="auto" w:fill="auto"/>
            <w:vAlign w:val="center"/>
          </w:tcPr>
          <w:p w14:paraId="615F29B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0" w:type="auto"/>
            <w:tcBorders>
              <w:top w:val="single" w:color="auto" w:sz="4" w:space="0"/>
              <w:left w:val="nil"/>
              <w:bottom w:val="nil"/>
              <w:right w:val="single" w:color="auto" w:sz="4" w:space="0"/>
            </w:tcBorders>
            <w:shd w:val="clear" w:color="auto" w:fill="auto"/>
            <w:vAlign w:val="center"/>
          </w:tcPr>
          <w:p w14:paraId="1AD00B1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0011E724">
        <w:tblPrEx>
          <w:tblCellMar>
            <w:top w:w="0" w:type="dxa"/>
            <w:left w:w="108" w:type="dxa"/>
            <w:bottom w:w="0" w:type="dxa"/>
            <w:right w:w="108" w:type="dxa"/>
          </w:tblCellMar>
        </w:tblPrEx>
        <w:trPr>
          <w:trHeight w:val="840" w:hRule="atLeast"/>
        </w:trPr>
        <w:tc>
          <w:tcPr>
            <w:tcW w:w="0" w:type="auto"/>
            <w:vMerge w:val="continue"/>
            <w:tcBorders>
              <w:top w:val="nil"/>
              <w:left w:val="single" w:color="auto" w:sz="4" w:space="0"/>
              <w:bottom w:val="nil"/>
              <w:right w:val="single" w:color="auto" w:sz="4" w:space="0"/>
            </w:tcBorders>
            <w:vAlign w:val="center"/>
          </w:tcPr>
          <w:p w14:paraId="452A3D46">
            <w:pPr>
              <w:widowControl/>
              <w:jc w:val="left"/>
              <w:rPr>
                <w:rFonts w:ascii="宋体" w:hAnsi="宋体" w:cs="宋体"/>
                <w:color w:val="000000"/>
                <w:kern w:val="0"/>
                <w:sz w:val="18"/>
                <w:szCs w:val="18"/>
              </w:rPr>
            </w:pPr>
          </w:p>
        </w:tc>
        <w:tc>
          <w:tcPr>
            <w:tcW w:w="0" w:type="auto"/>
            <w:vMerge w:val="continue"/>
            <w:tcBorders>
              <w:top w:val="single" w:color="auto" w:sz="4" w:space="0"/>
              <w:left w:val="single" w:color="auto" w:sz="4" w:space="0"/>
              <w:bottom w:val="nil"/>
              <w:right w:val="single" w:color="auto" w:sz="4" w:space="0"/>
            </w:tcBorders>
            <w:vAlign w:val="center"/>
          </w:tcPr>
          <w:p w14:paraId="007D6D04">
            <w:pPr>
              <w:widowControl/>
              <w:jc w:val="left"/>
              <w:rPr>
                <w:rFonts w:ascii="宋体" w:hAnsi="宋体" w:cs="宋体"/>
                <w:color w:val="000000"/>
                <w:kern w:val="0"/>
                <w:sz w:val="18"/>
                <w:szCs w:val="18"/>
              </w:rPr>
            </w:pPr>
          </w:p>
        </w:tc>
        <w:tc>
          <w:tcPr>
            <w:tcW w:w="0" w:type="auto"/>
            <w:tcBorders>
              <w:top w:val="single" w:color="auto" w:sz="4" w:space="0"/>
              <w:left w:val="nil"/>
              <w:bottom w:val="nil"/>
              <w:right w:val="single" w:color="auto" w:sz="4" w:space="0"/>
            </w:tcBorders>
            <w:shd w:val="clear" w:color="auto" w:fill="auto"/>
            <w:vAlign w:val="center"/>
          </w:tcPr>
          <w:p w14:paraId="66CBE9F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可持续影响</w:t>
            </w:r>
          </w:p>
        </w:tc>
        <w:tc>
          <w:tcPr>
            <w:tcW w:w="0" w:type="auto"/>
            <w:tcBorders>
              <w:top w:val="single" w:color="auto" w:sz="4" w:space="0"/>
              <w:left w:val="nil"/>
              <w:bottom w:val="nil"/>
              <w:right w:val="single" w:color="auto" w:sz="4" w:space="0"/>
            </w:tcBorders>
            <w:shd w:val="clear" w:color="auto" w:fill="auto"/>
            <w:vAlign w:val="center"/>
          </w:tcPr>
          <w:p w14:paraId="37DBE62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促进特种设备持续健康发展</w:t>
            </w:r>
          </w:p>
        </w:tc>
        <w:tc>
          <w:tcPr>
            <w:tcW w:w="0" w:type="auto"/>
            <w:tcBorders>
              <w:top w:val="single" w:color="auto" w:sz="4" w:space="0"/>
              <w:left w:val="nil"/>
              <w:bottom w:val="nil"/>
              <w:right w:val="single" w:color="auto" w:sz="4" w:space="0"/>
            </w:tcBorders>
            <w:shd w:val="clear" w:color="auto" w:fill="auto"/>
            <w:vAlign w:val="center"/>
          </w:tcPr>
          <w:p w14:paraId="0A192C4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定性</w:t>
            </w:r>
          </w:p>
        </w:tc>
        <w:tc>
          <w:tcPr>
            <w:tcW w:w="0" w:type="auto"/>
            <w:tcBorders>
              <w:top w:val="single" w:color="auto" w:sz="4" w:space="0"/>
              <w:left w:val="nil"/>
              <w:bottom w:val="nil"/>
              <w:right w:val="single" w:color="auto" w:sz="4" w:space="0"/>
            </w:tcBorders>
            <w:shd w:val="clear" w:color="auto" w:fill="auto"/>
            <w:vAlign w:val="center"/>
          </w:tcPr>
          <w:p w14:paraId="02C5606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single" w:color="auto" w:sz="4" w:space="0"/>
              <w:left w:val="nil"/>
              <w:bottom w:val="nil"/>
              <w:right w:val="single" w:color="auto" w:sz="4" w:space="0"/>
            </w:tcBorders>
            <w:shd w:val="clear" w:color="auto" w:fill="auto"/>
            <w:vAlign w:val="center"/>
          </w:tcPr>
          <w:p w14:paraId="69107F3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稳步提高</w:t>
            </w:r>
          </w:p>
        </w:tc>
        <w:tc>
          <w:tcPr>
            <w:tcW w:w="0" w:type="auto"/>
            <w:tcBorders>
              <w:top w:val="single" w:color="auto" w:sz="4" w:space="0"/>
              <w:left w:val="nil"/>
              <w:bottom w:val="nil"/>
              <w:right w:val="single" w:color="auto" w:sz="4" w:space="0"/>
            </w:tcBorders>
            <w:shd w:val="clear" w:color="auto" w:fill="auto"/>
            <w:vAlign w:val="center"/>
          </w:tcPr>
          <w:p w14:paraId="38ECA65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稳步提高</w:t>
            </w:r>
          </w:p>
        </w:tc>
        <w:tc>
          <w:tcPr>
            <w:tcW w:w="0" w:type="auto"/>
            <w:tcBorders>
              <w:top w:val="single" w:color="auto" w:sz="4" w:space="0"/>
              <w:left w:val="nil"/>
              <w:bottom w:val="nil"/>
              <w:right w:val="single" w:color="auto" w:sz="4" w:space="0"/>
            </w:tcBorders>
            <w:shd w:val="clear" w:color="auto" w:fill="auto"/>
            <w:vAlign w:val="center"/>
          </w:tcPr>
          <w:p w14:paraId="69B5334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single" w:color="auto" w:sz="4" w:space="0"/>
              <w:left w:val="nil"/>
              <w:bottom w:val="nil"/>
              <w:right w:val="single" w:color="auto" w:sz="4" w:space="0"/>
            </w:tcBorders>
            <w:shd w:val="clear" w:color="auto" w:fill="auto"/>
            <w:vAlign w:val="center"/>
          </w:tcPr>
          <w:p w14:paraId="677D6AC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0" w:type="auto"/>
            <w:tcBorders>
              <w:top w:val="single" w:color="auto" w:sz="4" w:space="0"/>
              <w:left w:val="nil"/>
              <w:bottom w:val="nil"/>
              <w:right w:val="single" w:color="auto" w:sz="4" w:space="0"/>
            </w:tcBorders>
            <w:shd w:val="clear" w:color="auto" w:fill="auto"/>
            <w:vAlign w:val="center"/>
          </w:tcPr>
          <w:p w14:paraId="51757C4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0" w:type="auto"/>
            <w:tcBorders>
              <w:top w:val="single" w:color="auto" w:sz="4" w:space="0"/>
              <w:left w:val="nil"/>
              <w:bottom w:val="nil"/>
              <w:right w:val="single" w:color="auto" w:sz="4" w:space="0"/>
            </w:tcBorders>
            <w:shd w:val="clear" w:color="auto" w:fill="auto"/>
            <w:vAlign w:val="center"/>
          </w:tcPr>
          <w:p w14:paraId="232C930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163A108C">
        <w:tblPrEx>
          <w:tblCellMar>
            <w:top w:w="0" w:type="dxa"/>
            <w:left w:w="108" w:type="dxa"/>
            <w:bottom w:w="0" w:type="dxa"/>
            <w:right w:w="108" w:type="dxa"/>
          </w:tblCellMar>
        </w:tblPrEx>
        <w:trPr>
          <w:trHeight w:val="840" w:hRule="atLeast"/>
        </w:trPr>
        <w:tc>
          <w:tcPr>
            <w:tcW w:w="0" w:type="auto"/>
            <w:vMerge w:val="continue"/>
            <w:tcBorders>
              <w:top w:val="nil"/>
              <w:left w:val="single" w:color="auto" w:sz="4" w:space="0"/>
              <w:bottom w:val="nil"/>
              <w:right w:val="single" w:color="auto" w:sz="4" w:space="0"/>
            </w:tcBorders>
            <w:vAlign w:val="center"/>
          </w:tcPr>
          <w:p w14:paraId="49DCF0E5">
            <w:pPr>
              <w:widowControl/>
              <w:jc w:val="left"/>
              <w:rPr>
                <w:rFonts w:ascii="宋体" w:hAnsi="宋体" w:cs="宋体"/>
                <w:color w:val="000000"/>
                <w:kern w:val="0"/>
                <w:sz w:val="18"/>
                <w:szCs w:val="18"/>
              </w:rPr>
            </w:pPr>
          </w:p>
        </w:tc>
        <w:tc>
          <w:tcPr>
            <w:tcW w:w="0" w:type="auto"/>
            <w:vMerge w:val="restart"/>
            <w:tcBorders>
              <w:top w:val="single" w:color="auto" w:sz="4" w:space="0"/>
              <w:left w:val="single" w:color="auto" w:sz="4" w:space="0"/>
              <w:bottom w:val="nil"/>
              <w:right w:val="single" w:color="auto" w:sz="4" w:space="0"/>
            </w:tcBorders>
            <w:shd w:val="clear" w:color="auto" w:fill="auto"/>
            <w:vAlign w:val="center"/>
          </w:tcPr>
          <w:p w14:paraId="3C12707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满意度指标</w:t>
            </w:r>
          </w:p>
        </w:tc>
        <w:tc>
          <w:tcPr>
            <w:tcW w:w="0" w:type="auto"/>
            <w:vMerge w:val="restart"/>
            <w:tcBorders>
              <w:top w:val="single" w:color="auto" w:sz="4" w:space="0"/>
              <w:left w:val="single" w:color="auto" w:sz="4" w:space="0"/>
              <w:bottom w:val="nil"/>
              <w:right w:val="single" w:color="auto" w:sz="4" w:space="0"/>
            </w:tcBorders>
            <w:shd w:val="clear" w:color="auto" w:fill="auto"/>
            <w:vAlign w:val="center"/>
          </w:tcPr>
          <w:p w14:paraId="2A713C3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服务对象满意度</w:t>
            </w:r>
          </w:p>
        </w:tc>
        <w:tc>
          <w:tcPr>
            <w:tcW w:w="0" w:type="auto"/>
            <w:tcBorders>
              <w:top w:val="single" w:color="auto" w:sz="4" w:space="0"/>
              <w:left w:val="nil"/>
              <w:bottom w:val="nil"/>
              <w:right w:val="single" w:color="auto" w:sz="4" w:space="0"/>
            </w:tcBorders>
            <w:shd w:val="clear" w:color="auto" w:fill="auto"/>
            <w:vAlign w:val="center"/>
          </w:tcPr>
          <w:p w14:paraId="5520635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委托检测单位满意度</w:t>
            </w:r>
          </w:p>
        </w:tc>
        <w:tc>
          <w:tcPr>
            <w:tcW w:w="0" w:type="auto"/>
            <w:tcBorders>
              <w:top w:val="single" w:color="auto" w:sz="4" w:space="0"/>
              <w:left w:val="nil"/>
              <w:bottom w:val="nil"/>
              <w:right w:val="single" w:color="auto" w:sz="4" w:space="0"/>
            </w:tcBorders>
            <w:shd w:val="clear" w:color="auto" w:fill="auto"/>
            <w:vAlign w:val="center"/>
          </w:tcPr>
          <w:p w14:paraId="569024D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正向</w:t>
            </w:r>
          </w:p>
        </w:tc>
        <w:tc>
          <w:tcPr>
            <w:tcW w:w="0" w:type="auto"/>
            <w:tcBorders>
              <w:top w:val="single" w:color="auto" w:sz="4" w:space="0"/>
              <w:left w:val="nil"/>
              <w:bottom w:val="nil"/>
              <w:right w:val="single" w:color="auto" w:sz="4" w:space="0"/>
            </w:tcBorders>
            <w:shd w:val="clear" w:color="auto" w:fill="auto"/>
            <w:vAlign w:val="center"/>
          </w:tcPr>
          <w:p w14:paraId="72E278A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大于等于</w:t>
            </w:r>
          </w:p>
        </w:tc>
        <w:tc>
          <w:tcPr>
            <w:tcW w:w="0" w:type="auto"/>
            <w:tcBorders>
              <w:top w:val="single" w:color="auto" w:sz="4" w:space="0"/>
              <w:left w:val="nil"/>
              <w:bottom w:val="nil"/>
              <w:right w:val="single" w:color="auto" w:sz="4" w:space="0"/>
            </w:tcBorders>
            <w:shd w:val="clear" w:color="auto" w:fill="auto"/>
            <w:vAlign w:val="center"/>
          </w:tcPr>
          <w:p w14:paraId="753BF7C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98</w:t>
            </w:r>
          </w:p>
        </w:tc>
        <w:tc>
          <w:tcPr>
            <w:tcW w:w="0" w:type="auto"/>
            <w:tcBorders>
              <w:top w:val="single" w:color="auto" w:sz="4" w:space="0"/>
              <w:left w:val="nil"/>
              <w:bottom w:val="nil"/>
              <w:right w:val="single" w:color="auto" w:sz="4" w:space="0"/>
            </w:tcBorders>
            <w:shd w:val="clear" w:color="auto" w:fill="auto"/>
            <w:vAlign w:val="center"/>
          </w:tcPr>
          <w:p w14:paraId="189EA95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98</w:t>
            </w:r>
          </w:p>
        </w:tc>
        <w:tc>
          <w:tcPr>
            <w:tcW w:w="0" w:type="auto"/>
            <w:tcBorders>
              <w:top w:val="single" w:color="auto" w:sz="4" w:space="0"/>
              <w:left w:val="nil"/>
              <w:bottom w:val="nil"/>
              <w:right w:val="single" w:color="auto" w:sz="4" w:space="0"/>
            </w:tcBorders>
            <w:shd w:val="clear" w:color="auto" w:fill="auto"/>
            <w:vAlign w:val="center"/>
          </w:tcPr>
          <w:p w14:paraId="19D2A90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single" w:color="auto" w:sz="4" w:space="0"/>
              <w:left w:val="nil"/>
              <w:bottom w:val="nil"/>
              <w:right w:val="single" w:color="auto" w:sz="4" w:space="0"/>
            </w:tcBorders>
            <w:shd w:val="clear" w:color="auto" w:fill="auto"/>
            <w:vAlign w:val="center"/>
          </w:tcPr>
          <w:p w14:paraId="41AA224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auto" w:sz="4" w:space="0"/>
              <w:left w:val="nil"/>
              <w:bottom w:val="nil"/>
              <w:right w:val="single" w:color="auto" w:sz="4" w:space="0"/>
            </w:tcBorders>
            <w:shd w:val="clear" w:color="auto" w:fill="auto"/>
            <w:vAlign w:val="center"/>
          </w:tcPr>
          <w:p w14:paraId="36F2610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auto" w:sz="4" w:space="0"/>
              <w:left w:val="nil"/>
              <w:bottom w:val="nil"/>
              <w:right w:val="single" w:color="auto" w:sz="4" w:space="0"/>
            </w:tcBorders>
            <w:shd w:val="clear" w:color="auto" w:fill="auto"/>
            <w:vAlign w:val="center"/>
          </w:tcPr>
          <w:p w14:paraId="0B82065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7C0C365C">
        <w:tblPrEx>
          <w:tblCellMar>
            <w:top w:w="0" w:type="dxa"/>
            <w:left w:w="108" w:type="dxa"/>
            <w:bottom w:w="0" w:type="dxa"/>
            <w:right w:w="108" w:type="dxa"/>
          </w:tblCellMar>
        </w:tblPrEx>
        <w:trPr>
          <w:trHeight w:val="840" w:hRule="atLeast"/>
        </w:trPr>
        <w:tc>
          <w:tcPr>
            <w:tcW w:w="0" w:type="auto"/>
            <w:vMerge w:val="continue"/>
            <w:tcBorders>
              <w:top w:val="nil"/>
              <w:left w:val="single" w:color="auto" w:sz="4" w:space="0"/>
              <w:bottom w:val="nil"/>
              <w:right w:val="single" w:color="auto" w:sz="4" w:space="0"/>
            </w:tcBorders>
            <w:vAlign w:val="center"/>
          </w:tcPr>
          <w:p w14:paraId="4C9995A3">
            <w:pPr>
              <w:widowControl/>
              <w:jc w:val="left"/>
              <w:rPr>
                <w:rFonts w:ascii="宋体" w:hAnsi="宋体" w:cs="宋体"/>
                <w:color w:val="000000"/>
                <w:kern w:val="0"/>
                <w:sz w:val="18"/>
                <w:szCs w:val="18"/>
              </w:rPr>
            </w:pPr>
          </w:p>
        </w:tc>
        <w:tc>
          <w:tcPr>
            <w:tcW w:w="0" w:type="auto"/>
            <w:vMerge w:val="continue"/>
            <w:tcBorders>
              <w:top w:val="single" w:color="auto" w:sz="4" w:space="0"/>
              <w:left w:val="single" w:color="auto" w:sz="4" w:space="0"/>
              <w:bottom w:val="nil"/>
              <w:right w:val="single" w:color="auto" w:sz="4" w:space="0"/>
            </w:tcBorders>
            <w:vAlign w:val="center"/>
          </w:tcPr>
          <w:p w14:paraId="3B0E72B2">
            <w:pPr>
              <w:widowControl/>
              <w:jc w:val="left"/>
              <w:rPr>
                <w:rFonts w:ascii="宋体" w:hAnsi="宋体" w:cs="宋体"/>
                <w:color w:val="000000"/>
                <w:kern w:val="0"/>
                <w:sz w:val="18"/>
                <w:szCs w:val="18"/>
              </w:rPr>
            </w:pPr>
          </w:p>
        </w:tc>
        <w:tc>
          <w:tcPr>
            <w:tcW w:w="0" w:type="auto"/>
            <w:vMerge w:val="continue"/>
            <w:tcBorders>
              <w:top w:val="single" w:color="auto" w:sz="4" w:space="0"/>
              <w:left w:val="single" w:color="auto" w:sz="4" w:space="0"/>
              <w:bottom w:val="nil"/>
              <w:right w:val="single" w:color="auto" w:sz="4" w:space="0"/>
            </w:tcBorders>
            <w:vAlign w:val="center"/>
          </w:tcPr>
          <w:p w14:paraId="3452E065">
            <w:pPr>
              <w:widowControl/>
              <w:jc w:val="left"/>
              <w:rPr>
                <w:rFonts w:ascii="宋体" w:hAnsi="宋体" w:cs="宋体"/>
                <w:color w:val="000000"/>
                <w:kern w:val="0"/>
                <w:sz w:val="18"/>
                <w:szCs w:val="18"/>
              </w:rPr>
            </w:pPr>
          </w:p>
        </w:tc>
        <w:tc>
          <w:tcPr>
            <w:tcW w:w="0" w:type="auto"/>
            <w:tcBorders>
              <w:top w:val="single" w:color="auto" w:sz="4" w:space="0"/>
              <w:left w:val="nil"/>
              <w:bottom w:val="nil"/>
              <w:right w:val="single" w:color="auto" w:sz="4" w:space="0"/>
            </w:tcBorders>
            <w:shd w:val="clear" w:color="auto" w:fill="auto"/>
            <w:vAlign w:val="center"/>
          </w:tcPr>
          <w:p w14:paraId="6A77525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职工对场所仪器设备及信息化系统使用满意度</w:t>
            </w:r>
          </w:p>
        </w:tc>
        <w:tc>
          <w:tcPr>
            <w:tcW w:w="0" w:type="auto"/>
            <w:tcBorders>
              <w:top w:val="single" w:color="auto" w:sz="4" w:space="0"/>
              <w:left w:val="nil"/>
              <w:bottom w:val="nil"/>
              <w:right w:val="single" w:color="auto" w:sz="4" w:space="0"/>
            </w:tcBorders>
            <w:shd w:val="clear" w:color="auto" w:fill="auto"/>
            <w:vAlign w:val="center"/>
          </w:tcPr>
          <w:p w14:paraId="7E9EB0A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正向</w:t>
            </w:r>
          </w:p>
        </w:tc>
        <w:tc>
          <w:tcPr>
            <w:tcW w:w="0" w:type="auto"/>
            <w:tcBorders>
              <w:top w:val="single" w:color="auto" w:sz="4" w:space="0"/>
              <w:left w:val="nil"/>
              <w:bottom w:val="nil"/>
              <w:right w:val="single" w:color="auto" w:sz="4" w:space="0"/>
            </w:tcBorders>
            <w:shd w:val="clear" w:color="auto" w:fill="auto"/>
            <w:vAlign w:val="center"/>
          </w:tcPr>
          <w:p w14:paraId="28EC5A8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大于等于</w:t>
            </w:r>
          </w:p>
        </w:tc>
        <w:tc>
          <w:tcPr>
            <w:tcW w:w="0" w:type="auto"/>
            <w:tcBorders>
              <w:top w:val="single" w:color="auto" w:sz="4" w:space="0"/>
              <w:left w:val="nil"/>
              <w:bottom w:val="nil"/>
              <w:right w:val="single" w:color="auto" w:sz="4" w:space="0"/>
            </w:tcBorders>
            <w:shd w:val="clear" w:color="auto" w:fill="auto"/>
            <w:vAlign w:val="center"/>
          </w:tcPr>
          <w:p w14:paraId="0E59AEC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98</w:t>
            </w:r>
          </w:p>
        </w:tc>
        <w:tc>
          <w:tcPr>
            <w:tcW w:w="0" w:type="auto"/>
            <w:tcBorders>
              <w:top w:val="single" w:color="auto" w:sz="4" w:space="0"/>
              <w:left w:val="nil"/>
              <w:bottom w:val="nil"/>
              <w:right w:val="single" w:color="auto" w:sz="4" w:space="0"/>
            </w:tcBorders>
            <w:shd w:val="clear" w:color="auto" w:fill="auto"/>
            <w:vAlign w:val="center"/>
          </w:tcPr>
          <w:p w14:paraId="2192076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98</w:t>
            </w:r>
          </w:p>
        </w:tc>
        <w:tc>
          <w:tcPr>
            <w:tcW w:w="0" w:type="auto"/>
            <w:tcBorders>
              <w:top w:val="single" w:color="auto" w:sz="4" w:space="0"/>
              <w:left w:val="nil"/>
              <w:bottom w:val="nil"/>
              <w:right w:val="single" w:color="auto" w:sz="4" w:space="0"/>
            </w:tcBorders>
            <w:shd w:val="clear" w:color="auto" w:fill="auto"/>
            <w:vAlign w:val="center"/>
          </w:tcPr>
          <w:p w14:paraId="7A335D8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single" w:color="auto" w:sz="4" w:space="0"/>
              <w:left w:val="nil"/>
              <w:bottom w:val="nil"/>
              <w:right w:val="single" w:color="auto" w:sz="4" w:space="0"/>
            </w:tcBorders>
            <w:shd w:val="clear" w:color="auto" w:fill="auto"/>
            <w:vAlign w:val="center"/>
          </w:tcPr>
          <w:p w14:paraId="1F97CCB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auto" w:sz="4" w:space="0"/>
              <w:left w:val="nil"/>
              <w:bottom w:val="nil"/>
              <w:right w:val="single" w:color="auto" w:sz="4" w:space="0"/>
            </w:tcBorders>
            <w:shd w:val="clear" w:color="auto" w:fill="auto"/>
            <w:vAlign w:val="center"/>
          </w:tcPr>
          <w:p w14:paraId="1D95B68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auto" w:sz="4" w:space="0"/>
              <w:left w:val="nil"/>
              <w:bottom w:val="nil"/>
              <w:right w:val="single" w:color="auto" w:sz="4" w:space="0"/>
            </w:tcBorders>
            <w:shd w:val="clear" w:color="auto" w:fill="auto"/>
            <w:vAlign w:val="center"/>
          </w:tcPr>
          <w:p w14:paraId="1388A41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2AA233BE">
        <w:tblPrEx>
          <w:tblCellMar>
            <w:top w:w="0" w:type="dxa"/>
            <w:left w:w="108" w:type="dxa"/>
            <w:bottom w:w="0" w:type="dxa"/>
            <w:right w:w="108" w:type="dxa"/>
          </w:tblCellMar>
        </w:tblPrEx>
        <w:trPr>
          <w:trHeight w:val="840" w:hRule="atLeast"/>
        </w:trPr>
        <w:tc>
          <w:tcPr>
            <w:tcW w:w="0" w:type="auto"/>
            <w:gridSpan w:val="9"/>
            <w:tcBorders>
              <w:top w:val="single" w:color="auto" w:sz="4" w:space="0"/>
              <w:left w:val="single" w:color="auto" w:sz="4" w:space="0"/>
              <w:bottom w:val="single" w:color="auto" w:sz="4" w:space="0"/>
              <w:right w:val="single" w:color="000000" w:sz="4" w:space="0"/>
            </w:tcBorders>
            <w:shd w:val="clear" w:color="auto" w:fill="auto"/>
            <w:vAlign w:val="center"/>
          </w:tcPr>
          <w:p w14:paraId="7B8E5B1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总分</w:t>
            </w:r>
          </w:p>
        </w:tc>
        <w:tc>
          <w:tcPr>
            <w:tcW w:w="0" w:type="auto"/>
            <w:tcBorders>
              <w:top w:val="single" w:color="auto" w:sz="4" w:space="0"/>
              <w:left w:val="nil"/>
              <w:bottom w:val="single" w:color="auto" w:sz="4" w:space="0"/>
              <w:right w:val="single" w:color="auto" w:sz="4" w:space="0"/>
            </w:tcBorders>
            <w:shd w:val="clear" w:color="auto" w:fill="auto"/>
            <w:vAlign w:val="center"/>
          </w:tcPr>
          <w:p w14:paraId="1F4A2C6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0" w:type="auto"/>
            <w:tcBorders>
              <w:top w:val="single" w:color="auto" w:sz="4" w:space="0"/>
              <w:left w:val="nil"/>
              <w:bottom w:val="single" w:color="auto" w:sz="4" w:space="0"/>
              <w:right w:val="single" w:color="auto" w:sz="4" w:space="0"/>
            </w:tcBorders>
            <w:shd w:val="clear" w:color="auto" w:fill="auto"/>
            <w:vAlign w:val="center"/>
          </w:tcPr>
          <w:p w14:paraId="7B95F5D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99.88</w:t>
            </w:r>
          </w:p>
        </w:tc>
        <w:tc>
          <w:tcPr>
            <w:tcW w:w="0" w:type="auto"/>
            <w:tcBorders>
              <w:top w:val="single" w:color="auto" w:sz="4" w:space="0"/>
              <w:left w:val="nil"/>
              <w:bottom w:val="single" w:color="auto" w:sz="4" w:space="0"/>
              <w:right w:val="single" w:color="auto" w:sz="4" w:space="0"/>
            </w:tcBorders>
            <w:shd w:val="clear" w:color="auto" w:fill="auto"/>
            <w:vAlign w:val="center"/>
          </w:tcPr>
          <w:p w14:paraId="4304CFB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bl>
    <w:p w14:paraId="502C1F3F">
      <w:pPr>
        <w:widowControl/>
        <w:ind w:firstLine="540" w:firstLineChars="200"/>
        <w:rPr>
          <w:rFonts w:hint="eastAsia" w:ascii="宋体" w:hAnsi="宋体" w:cs="宋体"/>
          <w:kern w:val="0"/>
          <w:sz w:val="27"/>
          <w:szCs w:val="27"/>
        </w:rPr>
      </w:pPr>
    </w:p>
    <w:p w14:paraId="64DAD593">
      <w:pPr>
        <w:widowControl/>
        <w:jc w:val="left"/>
        <w:rPr>
          <w:rFonts w:eastAsia="Times New Roman"/>
          <w:kern w:val="0"/>
          <w:sz w:val="24"/>
        </w:rPr>
      </w:pPr>
      <w:r>
        <w:rPr>
          <w:rFonts w:ascii="kai_ti_gb2312" w:hAnsi="kai_ti_gb2312" w:eastAsia="kai_ti_gb2312" w:cs="kai_ti_gb2312"/>
          <w:b/>
          <w:bCs/>
          <w:kern w:val="0"/>
          <w:sz w:val="27"/>
          <w:szCs w:val="27"/>
        </w:rPr>
        <w:t>    （三）单位项目绩效评价结果。</w:t>
      </w:r>
    </w:p>
    <w:p w14:paraId="3A406409">
      <w:pPr>
        <w:widowControl/>
        <w:jc w:val="left"/>
        <w:rPr>
          <w:rFonts w:ascii="宋体" w:hAnsi="宋体" w:cs="宋体"/>
          <w:kern w:val="0"/>
          <w:sz w:val="27"/>
          <w:szCs w:val="27"/>
        </w:rPr>
      </w:pPr>
      <w:r>
        <w:rPr>
          <w:rFonts w:ascii="fang_song_gb2312" w:hAnsi="fang_song_gb2312" w:eastAsia="fang_song_gb2312" w:cs="fang_song_gb2312"/>
          <w:kern w:val="0"/>
          <w:sz w:val="27"/>
          <w:szCs w:val="27"/>
        </w:rPr>
        <w:t xml:space="preserve">  </w:t>
      </w:r>
      <w:r>
        <w:rPr>
          <w:rFonts w:hint="eastAsia" w:ascii="宋体" w:hAnsi="宋体" w:cs="宋体"/>
          <w:kern w:val="0"/>
          <w:sz w:val="27"/>
          <w:szCs w:val="27"/>
        </w:rPr>
        <w:t> 以“锅炉压力容器与特种设备安全监管”项目为例，该项目绩效评价综合得分为100分，绩效评价结果为“优”。重点项目绩效评价得分情况详见部门具体绩效评价结果。</w:t>
      </w:r>
    </w:p>
    <w:p w14:paraId="5ADBC0EC">
      <w:pPr>
        <w:widowControl/>
        <w:jc w:val="left"/>
        <w:rPr>
          <w:rFonts w:hint="eastAsia" w:eastAsiaTheme="minorEastAsia"/>
          <w:kern w:val="0"/>
          <w:sz w:val="24"/>
        </w:rPr>
      </w:pPr>
      <w:r>
        <w:rPr>
          <w:rFonts w:hint="eastAsia" w:eastAsiaTheme="minorEastAsia"/>
          <w:kern w:val="0"/>
          <w:sz w:val="24"/>
        </w:rPr>
        <w:t xml:space="preserve">  </w:t>
      </w:r>
      <w:r>
        <w:rPr>
          <w:rFonts w:hint="eastAsia" w:eastAsiaTheme="minorEastAsia"/>
          <w:kern w:val="0"/>
          <w:sz w:val="24"/>
          <w:lang w:val="en-US" w:eastAsia="zh-CN"/>
        </w:rPr>
        <w:t xml:space="preserve">  </w:t>
      </w:r>
      <w:bookmarkStart w:id="1" w:name="_GoBack"/>
      <w:bookmarkEnd w:id="1"/>
      <w:r>
        <w:rPr>
          <w:rFonts w:hint="eastAsia" w:eastAsiaTheme="minorEastAsia"/>
          <w:kern w:val="0"/>
          <w:sz w:val="24"/>
        </w:rPr>
        <w:t xml:space="preserve"> </w:t>
      </w:r>
      <w:r>
        <w:rPr>
          <w:rFonts w:hint="eastAsia" w:ascii="宋体" w:hAnsi="宋体" w:cs="宋体"/>
          <w:kern w:val="0"/>
          <w:sz w:val="27"/>
          <w:szCs w:val="27"/>
        </w:rPr>
        <w:t>以“事业单位经营支出”项目为例，该项目绩效评价综合得分为99.88分，绩效评价结果为“优”。重点项目绩效评价得分情况详见部门具体绩效评价结果。</w:t>
      </w:r>
    </w:p>
    <w:p w14:paraId="534A7BDE">
      <w:pPr>
        <w:pStyle w:val="3"/>
        <w:keepNext w:val="0"/>
        <w:keepLines w:val="0"/>
        <w:widowControl/>
        <w:spacing w:before="299" w:after="299" w:line="240" w:lineRule="auto"/>
        <w:jc w:val="center"/>
        <w:rPr>
          <w:rFonts w:ascii="Times New Roman" w:hAnsi="Times New Roman" w:eastAsia="Times New Roman"/>
          <w:kern w:val="0"/>
          <w:sz w:val="36"/>
          <w:szCs w:val="36"/>
        </w:rPr>
      </w:pPr>
      <w:r>
        <w:rPr>
          <w:rFonts w:ascii="fang_zheng_xiao_biao_song_ti" w:hAnsi="fang_zheng_xiao_biao_song_ti" w:eastAsia="fang_zheng_xiao_biao_song_ti" w:cs="fang_zheng_xiao_biao_song_ti"/>
          <w:kern w:val="0"/>
          <w:sz w:val="36"/>
          <w:szCs w:val="36"/>
        </w:rPr>
        <w:t>第三部分  名词解释</w:t>
      </w:r>
    </w:p>
    <w:p w14:paraId="6B7EE23E">
      <w:pPr>
        <w:widowControl/>
        <w:jc w:val="left"/>
        <w:rPr>
          <w:rFonts w:eastAsia="Times New Roman"/>
          <w:kern w:val="0"/>
          <w:sz w:val="24"/>
        </w:rPr>
      </w:pPr>
      <w:r>
        <w:rPr>
          <w:rFonts w:ascii="fang_song_gb2312" w:hAnsi="fang_song_gb2312" w:eastAsia="fang_song_gb2312" w:cs="fang_song_gb2312"/>
          <w:b/>
          <w:bCs/>
          <w:kern w:val="0"/>
          <w:sz w:val="27"/>
          <w:szCs w:val="27"/>
        </w:rPr>
        <w:t>    一、财政拨款收入：</w:t>
      </w:r>
      <w:r>
        <w:rPr>
          <w:rFonts w:ascii="fang_song_gb2312" w:hAnsi="fang_song_gb2312" w:eastAsia="fang_song_gb2312" w:cs="fang_song_gb2312"/>
          <w:kern w:val="0"/>
          <w:sz w:val="27"/>
          <w:szCs w:val="27"/>
        </w:rPr>
        <w:t>从同级财政部门取得的各类财政拨款，包括一般公共预算财政拨款、政府性基金预算财政拨款、国有资本经营预算财政拨款。</w:t>
      </w:r>
    </w:p>
    <w:p w14:paraId="7DBA4241">
      <w:pPr>
        <w:widowControl/>
        <w:jc w:val="left"/>
        <w:rPr>
          <w:rFonts w:eastAsia="Times New Roman"/>
          <w:kern w:val="0"/>
          <w:sz w:val="24"/>
        </w:rPr>
      </w:pPr>
      <w:r>
        <w:rPr>
          <w:rFonts w:ascii="fang_song_gb2312" w:hAnsi="fang_song_gb2312" w:eastAsia="fang_song_gb2312" w:cs="fang_song_gb2312"/>
          <w:b/>
          <w:bCs/>
          <w:kern w:val="0"/>
          <w:sz w:val="27"/>
          <w:szCs w:val="27"/>
        </w:rPr>
        <w:t>    二、上级补助收入：</w:t>
      </w:r>
      <w:r>
        <w:rPr>
          <w:rFonts w:ascii="fang_song_gb2312" w:hAnsi="fang_song_gb2312" w:eastAsia="fang_song_gb2312" w:cs="fang_song_gb2312"/>
          <w:kern w:val="0"/>
          <w:sz w:val="27"/>
          <w:szCs w:val="27"/>
        </w:rPr>
        <w:t>指事业单位从主管部门和上级单位取得的非财政补助收入。</w:t>
      </w:r>
    </w:p>
    <w:p w14:paraId="6D8CC0CE">
      <w:pPr>
        <w:widowControl/>
        <w:jc w:val="left"/>
        <w:rPr>
          <w:rFonts w:eastAsia="Times New Roman"/>
          <w:kern w:val="0"/>
          <w:sz w:val="24"/>
        </w:rPr>
      </w:pPr>
      <w:r>
        <w:rPr>
          <w:rFonts w:ascii="fang_song_gb2312" w:hAnsi="fang_song_gb2312" w:eastAsia="fang_song_gb2312" w:cs="fang_song_gb2312"/>
          <w:b/>
          <w:bCs/>
          <w:kern w:val="0"/>
          <w:sz w:val="27"/>
          <w:szCs w:val="27"/>
        </w:rPr>
        <w:t>    三、财政专户管理教育收费：</w:t>
      </w:r>
      <w:r>
        <w:rPr>
          <w:rFonts w:ascii="fang_song_gb2312" w:hAnsi="fang_song_gb2312" w:eastAsia="fang_song_gb2312" w:cs="fang_song_gb2312"/>
          <w:kern w:val="0"/>
          <w:sz w:val="27"/>
          <w:szCs w:val="27"/>
        </w:rPr>
        <w:t>指缴入财政专户、实行专项管理的高中以上学费、住宿费、高校委托培养费、函大、电大、夜大及短训班培训费等教育收费。</w:t>
      </w:r>
    </w:p>
    <w:p w14:paraId="4BCD8F27">
      <w:pPr>
        <w:widowControl/>
        <w:jc w:val="left"/>
        <w:rPr>
          <w:rFonts w:eastAsia="Times New Roman"/>
          <w:kern w:val="0"/>
          <w:sz w:val="24"/>
        </w:rPr>
      </w:pPr>
      <w:r>
        <w:rPr>
          <w:rFonts w:ascii="fang_song_gb2312" w:hAnsi="fang_song_gb2312" w:eastAsia="fang_song_gb2312" w:cs="fang_song_gb2312"/>
          <w:b/>
          <w:bCs/>
          <w:kern w:val="0"/>
          <w:sz w:val="27"/>
          <w:szCs w:val="27"/>
        </w:rPr>
        <w:t>    四、事业收入：</w:t>
      </w:r>
      <w:r>
        <w:rPr>
          <w:rFonts w:ascii="fang_song_gb2312" w:hAnsi="fang_song_gb2312" w:eastAsia="fang_song_gb2312" w:cs="fang_song_gb2312"/>
          <w:kern w:val="0"/>
          <w:sz w:val="27"/>
          <w:szCs w:val="27"/>
        </w:rPr>
        <w:t>指事业单位开展专业业务活动及其辅助活动取得的收入。</w:t>
      </w:r>
    </w:p>
    <w:p w14:paraId="27F9AFCC">
      <w:pPr>
        <w:widowControl/>
        <w:jc w:val="left"/>
        <w:rPr>
          <w:rFonts w:eastAsia="Times New Roman"/>
          <w:kern w:val="0"/>
          <w:sz w:val="24"/>
        </w:rPr>
      </w:pPr>
      <w:r>
        <w:rPr>
          <w:rFonts w:ascii="fang_song_gb2312" w:hAnsi="fang_song_gb2312" w:eastAsia="fang_song_gb2312" w:cs="fang_song_gb2312"/>
          <w:b/>
          <w:bCs/>
          <w:kern w:val="0"/>
          <w:sz w:val="27"/>
          <w:szCs w:val="27"/>
        </w:rPr>
        <w:t>    五、经营收入：</w:t>
      </w:r>
      <w:r>
        <w:rPr>
          <w:rFonts w:ascii="fang_song_gb2312" w:hAnsi="fang_song_gb2312" w:eastAsia="fang_song_gb2312" w:cs="fang_song_gb2312"/>
          <w:kern w:val="0"/>
          <w:sz w:val="27"/>
          <w:szCs w:val="27"/>
        </w:rPr>
        <w:t>指事业单位在专业业务活动及其辅助活动之外开展非独立核算经营活动取得的收入。</w:t>
      </w:r>
    </w:p>
    <w:p w14:paraId="30D9FCC7">
      <w:pPr>
        <w:widowControl/>
        <w:jc w:val="left"/>
        <w:rPr>
          <w:rFonts w:eastAsia="Times New Roman"/>
          <w:kern w:val="0"/>
          <w:sz w:val="24"/>
        </w:rPr>
      </w:pPr>
      <w:r>
        <w:rPr>
          <w:rFonts w:ascii="fang_song_gb2312" w:hAnsi="fang_song_gb2312" w:eastAsia="fang_song_gb2312" w:cs="fang_song_gb2312"/>
          <w:b/>
          <w:bCs/>
          <w:kern w:val="0"/>
          <w:sz w:val="27"/>
          <w:szCs w:val="27"/>
        </w:rPr>
        <w:t>    六、附属单位上缴收入：</w:t>
      </w:r>
      <w:r>
        <w:rPr>
          <w:rFonts w:ascii="fang_song_gb2312" w:hAnsi="fang_song_gb2312" w:eastAsia="fang_song_gb2312" w:cs="fang_song_gb2312"/>
          <w:kern w:val="0"/>
          <w:sz w:val="27"/>
          <w:szCs w:val="27"/>
        </w:rPr>
        <w:t>指事业单位取得附属独立核算单位按照有关规定上缴的收入。</w:t>
      </w:r>
    </w:p>
    <w:p w14:paraId="35C325B3">
      <w:pPr>
        <w:widowControl/>
        <w:jc w:val="left"/>
        <w:rPr>
          <w:rFonts w:eastAsia="Times New Roman"/>
          <w:kern w:val="0"/>
          <w:sz w:val="24"/>
        </w:rPr>
      </w:pPr>
      <w:r>
        <w:rPr>
          <w:rFonts w:ascii="fang_song_gb2312" w:hAnsi="fang_song_gb2312" w:eastAsia="fang_song_gb2312" w:cs="fang_song_gb2312"/>
          <w:b/>
          <w:bCs/>
          <w:kern w:val="0"/>
          <w:sz w:val="27"/>
          <w:szCs w:val="27"/>
        </w:rPr>
        <w:t>    七、其他收入：</w:t>
      </w:r>
      <w:r>
        <w:rPr>
          <w:rFonts w:ascii="fang_song_gb2312" w:hAnsi="fang_song_gb2312" w:eastAsia="fang_song_gb2312" w:cs="fang_song_gb2312"/>
          <w:kern w:val="0"/>
          <w:sz w:val="27"/>
          <w:szCs w:val="27"/>
        </w:rPr>
        <w:t>取得的除上述“财政拨款收入”、“上级补助收入”、“事业收入”、“经营收入”、“附属单位上缴收入”等以外的各项收入。</w:t>
      </w:r>
    </w:p>
    <w:p w14:paraId="1A8A21D7">
      <w:pPr>
        <w:widowControl/>
        <w:jc w:val="left"/>
        <w:rPr>
          <w:rFonts w:eastAsia="Times New Roman"/>
          <w:kern w:val="0"/>
          <w:sz w:val="24"/>
        </w:rPr>
      </w:pPr>
      <w:r>
        <w:rPr>
          <w:rFonts w:ascii="fang_song_gb2312" w:hAnsi="fang_song_gb2312" w:eastAsia="fang_song_gb2312" w:cs="fang_song_gb2312"/>
          <w:b/>
          <w:bCs/>
          <w:kern w:val="0"/>
          <w:sz w:val="27"/>
          <w:szCs w:val="27"/>
        </w:rPr>
        <w:t>    八、使用非财政拨款结余和专用结余：</w:t>
      </w:r>
      <w:r>
        <w:rPr>
          <w:rFonts w:ascii="fang_song_gb2312" w:hAnsi="fang_song_gb2312" w:eastAsia="fang_song_gb2312" w:cs="fang_song_gb2312"/>
          <w:kern w:val="0"/>
          <w:sz w:val="27"/>
          <w:szCs w:val="27"/>
        </w:rPr>
        <w:t>指事业单位按照预算管理要求使用非财政拨款结余和专用结余弥补当年收支差额的数额。</w:t>
      </w:r>
    </w:p>
    <w:p w14:paraId="4040F877">
      <w:pPr>
        <w:widowControl/>
        <w:jc w:val="left"/>
        <w:rPr>
          <w:rFonts w:eastAsia="Times New Roman"/>
          <w:kern w:val="0"/>
          <w:sz w:val="24"/>
        </w:rPr>
      </w:pPr>
      <w:r>
        <w:rPr>
          <w:rFonts w:ascii="fang_song_gb2312" w:hAnsi="fang_song_gb2312" w:eastAsia="fang_song_gb2312" w:cs="fang_song_gb2312"/>
          <w:b/>
          <w:bCs/>
          <w:kern w:val="0"/>
          <w:sz w:val="27"/>
          <w:szCs w:val="27"/>
        </w:rPr>
        <w:t>    九、年初结转和结余：</w:t>
      </w:r>
      <w:r>
        <w:rPr>
          <w:rFonts w:ascii="fang_song_gb2312" w:hAnsi="fang_song_gb2312" w:eastAsia="fang_song_gb2312" w:cs="fang_song_gb2312"/>
          <w:kern w:val="0"/>
          <w:sz w:val="27"/>
          <w:szCs w:val="27"/>
        </w:rPr>
        <w:t>指单位上年结转本年使用的基本支出结转、项目支出结转和结余、经营结余。</w:t>
      </w:r>
    </w:p>
    <w:p w14:paraId="1788D263">
      <w:pPr>
        <w:widowControl/>
        <w:jc w:val="left"/>
        <w:rPr>
          <w:rFonts w:eastAsia="Times New Roman"/>
          <w:kern w:val="0"/>
          <w:sz w:val="24"/>
        </w:rPr>
      </w:pPr>
      <w:r>
        <w:rPr>
          <w:rFonts w:ascii="fang_song_gb2312" w:hAnsi="fang_song_gb2312" w:eastAsia="fang_song_gb2312" w:cs="fang_song_gb2312"/>
          <w:b/>
          <w:bCs/>
          <w:kern w:val="0"/>
          <w:sz w:val="27"/>
          <w:szCs w:val="27"/>
        </w:rPr>
        <w:t>    十、结余分配：</w:t>
      </w:r>
      <w:r>
        <w:rPr>
          <w:rFonts w:ascii="fang_song_gb2312" w:hAnsi="fang_song_gb2312" w:eastAsia="fang_song_gb2312" w:cs="fang_song_gb2312"/>
          <w:kern w:val="0"/>
          <w:sz w:val="27"/>
          <w:szCs w:val="27"/>
        </w:rPr>
        <w:t>指事业单位按规定缴纳企业所得税以及从非财政拨款结余或经营结余中提取各类结余的情况。</w:t>
      </w:r>
    </w:p>
    <w:p w14:paraId="76FBDBAE">
      <w:pPr>
        <w:widowControl/>
        <w:jc w:val="left"/>
        <w:rPr>
          <w:rFonts w:eastAsia="Times New Roman"/>
          <w:kern w:val="0"/>
          <w:sz w:val="24"/>
        </w:rPr>
      </w:pPr>
      <w:r>
        <w:rPr>
          <w:rFonts w:ascii="fang_song_gb2312" w:hAnsi="fang_song_gb2312" w:eastAsia="fang_song_gb2312" w:cs="fang_song_gb2312"/>
          <w:b/>
          <w:bCs/>
          <w:kern w:val="0"/>
          <w:sz w:val="27"/>
          <w:szCs w:val="27"/>
        </w:rPr>
        <w:t>    十一、年末结转和结余资金：</w:t>
      </w:r>
      <w:r>
        <w:rPr>
          <w:rFonts w:ascii="fang_song_gb2312" w:hAnsi="fang_song_gb2312" w:eastAsia="fang_song_gb2312" w:cs="fang_song_gb2312"/>
          <w:kern w:val="0"/>
          <w:sz w:val="27"/>
          <w:szCs w:val="27"/>
        </w:rPr>
        <w:t>指单位结转下年的基本支出结转、项目支出结转和结余、经营结余。</w:t>
      </w:r>
    </w:p>
    <w:p w14:paraId="3727997F">
      <w:pPr>
        <w:widowControl/>
        <w:jc w:val="left"/>
        <w:rPr>
          <w:rFonts w:eastAsia="Times New Roman"/>
          <w:kern w:val="0"/>
          <w:sz w:val="24"/>
        </w:rPr>
      </w:pPr>
      <w:r>
        <w:rPr>
          <w:rFonts w:ascii="fang_song_gb2312" w:hAnsi="fang_song_gb2312" w:eastAsia="fang_song_gb2312" w:cs="fang_song_gb2312"/>
          <w:b/>
          <w:bCs/>
          <w:kern w:val="0"/>
          <w:sz w:val="27"/>
          <w:szCs w:val="27"/>
        </w:rPr>
        <w:t>    十二、基本支出：</w:t>
      </w:r>
      <w:r>
        <w:rPr>
          <w:rFonts w:ascii="fang_song_gb2312" w:hAnsi="fang_song_gb2312" w:eastAsia="fang_song_gb2312" w:cs="fang_song_gb2312"/>
          <w:kern w:val="0"/>
          <w:sz w:val="27"/>
          <w:szCs w:val="27"/>
        </w:rPr>
        <w:t>指为保障机构正常运转、完成日常工作任务所发生的支出，包括人员经费和公用经费。</w:t>
      </w:r>
    </w:p>
    <w:p w14:paraId="05387D93">
      <w:pPr>
        <w:widowControl/>
        <w:jc w:val="left"/>
        <w:rPr>
          <w:rFonts w:eastAsia="Times New Roman"/>
          <w:kern w:val="0"/>
          <w:sz w:val="24"/>
        </w:rPr>
      </w:pPr>
      <w:r>
        <w:rPr>
          <w:rFonts w:ascii="fang_song_gb2312" w:hAnsi="fang_song_gb2312" w:eastAsia="fang_song_gb2312" w:cs="fang_song_gb2312"/>
          <w:b/>
          <w:bCs/>
          <w:kern w:val="0"/>
          <w:sz w:val="27"/>
          <w:szCs w:val="27"/>
        </w:rPr>
        <w:t>    十三、项目支出：</w:t>
      </w:r>
      <w:r>
        <w:rPr>
          <w:rFonts w:ascii="fang_song_gb2312" w:hAnsi="fang_song_gb2312" w:eastAsia="fang_song_gb2312" w:cs="fang_song_gb2312"/>
          <w:kern w:val="0"/>
          <w:sz w:val="27"/>
          <w:szCs w:val="27"/>
        </w:rPr>
        <w:t>指在为完成特定的工作任务和事业发展目标所发生的支出。</w:t>
      </w:r>
    </w:p>
    <w:p w14:paraId="63361B1C">
      <w:pPr>
        <w:widowControl/>
        <w:jc w:val="left"/>
        <w:rPr>
          <w:rFonts w:eastAsia="Times New Roman"/>
          <w:kern w:val="0"/>
          <w:sz w:val="24"/>
        </w:rPr>
      </w:pPr>
      <w:r>
        <w:rPr>
          <w:rFonts w:ascii="fang_song_gb2312" w:hAnsi="fang_song_gb2312" w:eastAsia="fang_song_gb2312" w:cs="fang_song_gb2312"/>
          <w:b/>
          <w:bCs/>
          <w:kern w:val="0"/>
          <w:sz w:val="27"/>
          <w:szCs w:val="27"/>
        </w:rPr>
        <w:t>    十四、上缴上级支出：</w:t>
      </w:r>
      <w:r>
        <w:rPr>
          <w:rFonts w:ascii="fang_song_gb2312" w:hAnsi="fang_song_gb2312" w:eastAsia="fang_song_gb2312" w:cs="fang_song_gb2312"/>
          <w:kern w:val="0"/>
          <w:sz w:val="27"/>
          <w:szCs w:val="27"/>
        </w:rPr>
        <w:t>指事业单位按照财政部门和主管部门的规定上缴上级单位的支出。</w:t>
      </w:r>
    </w:p>
    <w:p w14:paraId="2DBAEF8B">
      <w:pPr>
        <w:widowControl/>
        <w:jc w:val="left"/>
        <w:rPr>
          <w:rFonts w:eastAsia="Times New Roman"/>
          <w:kern w:val="0"/>
          <w:sz w:val="24"/>
        </w:rPr>
      </w:pPr>
      <w:r>
        <w:rPr>
          <w:rFonts w:ascii="fang_song_gb2312" w:hAnsi="fang_song_gb2312" w:eastAsia="fang_song_gb2312" w:cs="fang_song_gb2312"/>
          <w:b/>
          <w:bCs/>
          <w:kern w:val="0"/>
          <w:sz w:val="27"/>
          <w:szCs w:val="27"/>
        </w:rPr>
        <w:t>    十五、经营支出：</w:t>
      </w:r>
      <w:r>
        <w:rPr>
          <w:rFonts w:ascii="fang_song_gb2312" w:hAnsi="fang_song_gb2312" w:eastAsia="fang_song_gb2312" w:cs="fang_song_gb2312"/>
          <w:kern w:val="0"/>
          <w:sz w:val="27"/>
          <w:szCs w:val="27"/>
        </w:rPr>
        <w:t>指事业单位在专业业务活动及其辅助活动之外开展非独立核算经营活动发生的支出。</w:t>
      </w:r>
    </w:p>
    <w:p w14:paraId="77847053">
      <w:pPr>
        <w:widowControl/>
        <w:jc w:val="left"/>
        <w:rPr>
          <w:rFonts w:eastAsia="Times New Roman"/>
          <w:kern w:val="0"/>
          <w:sz w:val="24"/>
        </w:rPr>
      </w:pPr>
      <w:r>
        <w:rPr>
          <w:rFonts w:ascii="fang_song_gb2312" w:hAnsi="fang_song_gb2312" w:eastAsia="fang_song_gb2312" w:cs="fang_song_gb2312"/>
          <w:b/>
          <w:bCs/>
          <w:kern w:val="0"/>
          <w:sz w:val="27"/>
          <w:szCs w:val="27"/>
        </w:rPr>
        <w:t>    十六、对附属单位补助支出：</w:t>
      </w:r>
      <w:r>
        <w:rPr>
          <w:rFonts w:ascii="fang_song_gb2312" w:hAnsi="fang_song_gb2312" w:eastAsia="fang_song_gb2312" w:cs="fang_song_gb2312"/>
          <w:kern w:val="0"/>
          <w:sz w:val="27"/>
          <w:szCs w:val="27"/>
        </w:rPr>
        <w:t>指事业单位用财政拨款收入之外的收入对附属单位补助发生的支出。</w:t>
      </w:r>
    </w:p>
    <w:p w14:paraId="2ED60F46">
      <w:pPr>
        <w:widowControl/>
        <w:jc w:val="left"/>
        <w:rPr>
          <w:rFonts w:eastAsia="Times New Roman"/>
          <w:kern w:val="0"/>
          <w:sz w:val="24"/>
        </w:rPr>
      </w:pPr>
      <w:r>
        <w:rPr>
          <w:rFonts w:ascii="fang_song_gb2312" w:hAnsi="fang_song_gb2312" w:eastAsia="fang_song_gb2312" w:cs="fang_song_gb2312"/>
          <w:b/>
          <w:bCs/>
          <w:kern w:val="0"/>
          <w:sz w:val="27"/>
          <w:szCs w:val="27"/>
        </w:rPr>
        <w:t>    十七、“三公”经费：</w:t>
      </w:r>
      <w:r>
        <w:rPr>
          <w:rFonts w:ascii="fang_song_gb2312" w:hAnsi="fang_song_gb2312" w:eastAsia="fang_song_gb2312" w:cs="fang_song_gb2312"/>
          <w:kern w:val="0"/>
          <w:sz w:val="27"/>
          <w:szCs w:val="27"/>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14:paraId="6514B24A">
      <w:pPr>
        <w:widowControl/>
        <w:jc w:val="left"/>
        <w:rPr>
          <w:rFonts w:eastAsia="Times New Roman"/>
          <w:kern w:val="0"/>
          <w:sz w:val="24"/>
        </w:rPr>
      </w:pPr>
      <w:r>
        <w:rPr>
          <w:rFonts w:ascii="fang_song_gb2312" w:hAnsi="fang_song_gb2312" w:eastAsia="fang_song_gb2312" w:cs="fang_song_gb2312"/>
          <w:b/>
          <w:bCs/>
          <w:kern w:val="0"/>
          <w:sz w:val="27"/>
          <w:szCs w:val="27"/>
        </w:rPr>
        <w:t>    十八、机构运行经费：</w:t>
      </w:r>
      <w:r>
        <w:rPr>
          <w:rFonts w:ascii="fang_song_gb2312" w:hAnsi="fang_song_gb2312" w:eastAsia="fang_song_gb2312" w:cs="fang_song_gb2312"/>
          <w:kern w:val="0"/>
          <w:sz w:val="27"/>
          <w:szCs w:val="27"/>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6608B41F">
      <w:pPr>
        <w:pStyle w:val="3"/>
        <w:keepNext w:val="0"/>
        <w:keepLines w:val="0"/>
        <w:widowControl/>
        <w:spacing w:before="299" w:after="299" w:line="240" w:lineRule="auto"/>
        <w:jc w:val="center"/>
        <w:rPr>
          <w:rFonts w:ascii="Times New Roman" w:hAnsi="Times New Roman" w:eastAsia="Times New Roman"/>
          <w:kern w:val="0"/>
          <w:sz w:val="24"/>
        </w:rPr>
      </w:pPr>
      <w:r>
        <w:rPr>
          <w:rFonts w:ascii="fang_zheng_xiao_biao_song_ti" w:hAnsi="fang_zheng_xiao_biao_song_ti" w:eastAsia="fang_zheng_xiao_biao_song_ti" w:cs="fang_zheng_xiao_biao_song_ti"/>
          <w:kern w:val="0"/>
          <w:sz w:val="36"/>
          <w:szCs w:val="36"/>
        </w:rPr>
        <w:t>第四部分 决算公开联系方式及信息反馈渠道</w:t>
      </w:r>
    </w:p>
    <w:p w14:paraId="76F2F109">
      <w:pPr>
        <w:widowControl/>
        <w:jc w:val="left"/>
        <w:rPr>
          <w:rFonts w:hint="eastAsia" w:ascii="宋体" w:hAnsi="宋体" w:cs="宋体"/>
          <w:kern w:val="0"/>
          <w:sz w:val="24"/>
        </w:rPr>
      </w:pPr>
      <w:r>
        <w:rPr>
          <w:rFonts w:ascii="fang_song_gb2312" w:hAnsi="fang_song_gb2312" w:eastAsia="fang_song_gb2312" w:cs="fang_song_gb2312"/>
          <w:kern w:val="0"/>
          <w:sz w:val="27"/>
          <w:szCs w:val="27"/>
        </w:rPr>
        <w:t>   </w:t>
      </w:r>
      <w:r>
        <w:rPr>
          <w:rFonts w:hint="eastAsia" w:ascii="fang_song_gb2312" w:hAnsi="fang_song_gb2312" w:cs="fang_song_gb2312"/>
          <w:kern w:val="0"/>
          <w:sz w:val="27"/>
          <w:szCs w:val="27"/>
        </w:rPr>
        <w:t xml:space="preserve">  </w:t>
      </w:r>
      <w:r>
        <w:rPr>
          <w:rFonts w:hint="eastAsia" w:ascii="宋体" w:hAnsi="宋体" w:cs="宋体"/>
          <w:kern w:val="0"/>
          <w:sz w:val="27"/>
          <w:szCs w:val="27"/>
        </w:rPr>
        <w:t>本单位决算公开信息反馈和联系方式：</w:t>
      </w:r>
    </w:p>
    <w:p w14:paraId="6115D610">
      <w:pPr>
        <w:widowControl/>
        <w:jc w:val="left"/>
        <w:rPr>
          <w:rFonts w:eastAsia="Times New Roman"/>
          <w:kern w:val="0"/>
          <w:sz w:val="24"/>
        </w:rPr>
      </w:pPr>
      <w:r>
        <w:rPr>
          <w:rFonts w:hint="eastAsia" w:ascii="宋体" w:hAnsi="宋体" w:cs="宋体"/>
          <w:kern w:val="0"/>
          <w:sz w:val="27"/>
          <w:szCs w:val="27"/>
        </w:rPr>
        <w:t>    联系人：张书悦           联系电话：0478—8248365</w:t>
      </w:r>
    </w:p>
    <w:p w14:paraId="1DC1FDF4">
      <w:pPr>
        <w:widowControl/>
        <w:spacing w:before="240" w:after="240"/>
        <w:jc w:val="center"/>
        <w:rPr>
          <w:rFonts w:eastAsia="Times New Roman"/>
          <w:kern w:val="0"/>
          <w:sz w:val="24"/>
        </w:rPr>
      </w:pPr>
      <w:r>
        <w:rPr>
          <w:rFonts w:ascii="fang_zheng_xiao_biao_song_ti" w:hAnsi="fang_zheng_xiao_biao_song_ti" w:eastAsia="fang_zheng_xiao_biao_song_ti" w:cs="fang_zheng_xiao_biao_song_ti"/>
          <w:b/>
          <w:bCs/>
          <w:kern w:val="0"/>
          <w:sz w:val="36"/>
          <w:szCs w:val="36"/>
        </w:rPr>
        <w:t>第五部分 单位决算表</w:t>
      </w:r>
    </w:p>
    <w:p w14:paraId="363840D3">
      <w:pPr>
        <w:widowControl/>
        <w:jc w:val="left"/>
        <w:rPr>
          <w:rFonts w:hint="eastAsia" w:ascii="宋体" w:hAnsi="宋体" w:cs="宋体"/>
          <w:kern w:val="0"/>
          <w:sz w:val="24"/>
        </w:rPr>
      </w:pPr>
      <w:r>
        <w:rPr>
          <w:rFonts w:ascii="fang_song_gb2312" w:hAnsi="fang_song_gb2312" w:eastAsia="fang_song_gb2312" w:cs="fang_song_gb2312"/>
          <w:kern w:val="0"/>
          <w:sz w:val="27"/>
          <w:szCs w:val="27"/>
        </w:rPr>
        <w:t xml:space="preserve">  </w:t>
      </w:r>
      <w:r>
        <w:rPr>
          <w:rFonts w:hint="eastAsia" w:ascii="宋体" w:hAnsi="宋体" w:cs="宋体"/>
          <w:kern w:val="0"/>
          <w:sz w:val="27"/>
          <w:szCs w:val="27"/>
        </w:rPr>
        <w:t>   详见附件。</w:t>
      </w:r>
    </w:p>
    <w:p w14:paraId="271BA78F">
      <w:pPr>
        <w:widowControl/>
        <w:spacing w:before="240" w:after="240"/>
        <w:jc w:val="left"/>
        <w:rPr>
          <w:rFonts w:eastAsia="Times New Roman"/>
          <w:kern w:val="0"/>
          <w:sz w:val="24"/>
        </w:rPr>
      </w:pPr>
    </w:p>
    <w:p w14:paraId="6AF7E8AC">
      <w:pPr>
        <w:widowControl/>
        <w:spacing w:before="240" w:after="240"/>
        <w:jc w:val="left"/>
        <w:rPr>
          <w:rFonts w:eastAsia="Times New Roman"/>
          <w:kern w:val="0"/>
          <w:sz w:val="24"/>
        </w:rPr>
      </w:pPr>
    </w:p>
    <w:p w14:paraId="43A5F284">
      <w:pPr>
        <w:widowControl/>
        <w:spacing w:before="240" w:after="240"/>
        <w:jc w:val="left"/>
        <w:rPr>
          <w:rFonts w:eastAsia="Times New Roman"/>
          <w:kern w:val="0"/>
          <w:sz w:val="24"/>
        </w:rPr>
      </w:pPr>
    </w:p>
    <w:bookmarkEnd w:id="0"/>
    <w:p w14:paraId="5055784F">
      <w:pPr>
        <w:adjustRightInd w:val="0"/>
        <w:snapToGrid w:val="0"/>
        <w:rPr>
          <w:rFonts w:hint="eastAsia" w:ascii="宋体" w:hAnsi="宋体"/>
          <w:b/>
          <w:sz w:val="32"/>
          <w:szCs w:val="32"/>
        </w:rPr>
      </w:pPr>
    </w:p>
    <w:p w14:paraId="79F55E0A">
      <w:pPr>
        <w:tabs>
          <w:tab w:val="left" w:pos="8415"/>
        </w:tabs>
      </w:pPr>
    </w:p>
    <w:sectPr>
      <w:footerReference r:id="rId4" w:type="default"/>
      <w:pgSz w:w="11906" w:h="16838"/>
      <w:pgMar w:top="1440" w:right="1440" w:bottom="1440" w:left="1440" w:header="0" w:footer="72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_song_gb2312">
    <w:altName w:val="Segoe Print"/>
    <w:panose1 w:val="00000000000000000000"/>
    <w:charset w:val="00"/>
    <w:family w:val="auto"/>
    <w:pitch w:val="default"/>
    <w:sig w:usb0="00000000" w:usb1="00000000" w:usb2="00000000" w:usb3="00000000" w:csb0="00000000" w:csb1="00000000"/>
  </w:font>
  <w:font w:name="fang_zheng_xiao_biao_song_ti">
    <w:altName w:val="Segoe Print"/>
    <w:panose1 w:val="00000000000000000000"/>
    <w:charset w:val="00"/>
    <w:family w:val="auto"/>
    <w:pitch w:val="default"/>
    <w:sig w:usb0="00000000" w:usb1="00000000" w:usb2="00000000" w:usb3="00000000" w:csb0="00000000" w:csb1="00000000"/>
  </w:font>
  <w:font w:name="kai_ti_gb2312">
    <w:altName w:val="Segoe Print"/>
    <w:panose1 w:val="00000000000000000000"/>
    <w:charset w:val="00"/>
    <w:family w:val="auto"/>
    <w:pitch w:val="default"/>
    <w:sig w:usb0="00000000" w:usb1="00000000" w:usb2="00000000" w:usb3="00000000" w:csb0="00000000" w:csb1="00000000"/>
  </w:font>
  <w:font w:name="times_new_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E2DB2">
    <w:pPr>
      <w:jc w:val="center"/>
    </w:pPr>
    <w:r>
      <w:rPr>
        <w:rFonts w:ascii="宋体" w:hAnsi="宋体" w:cs="宋体"/>
        <w:sz w:val="18"/>
      </w:rPr>
      <w:fldChar w:fldCharType="begin"/>
    </w:r>
    <w:r>
      <w:rPr>
        <w:rFonts w:ascii="宋体" w:hAnsi="宋体" w:cs="宋体"/>
        <w:sz w:val="18"/>
      </w:rPr>
      <w:instrText xml:space="preserve"> PAGE </w:instrText>
    </w:r>
    <w:r>
      <w:rPr>
        <w:rFonts w:ascii="宋体" w:hAnsi="宋体" w:cs="宋体"/>
        <w:sz w:val="18"/>
      </w:rPr>
      <w:fldChar w:fldCharType="separate"/>
    </w:r>
    <w:r>
      <w:rPr>
        <w:rFonts w:ascii="宋体" w:hAnsi="宋体" w:cs="宋体"/>
        <w:sz w:val="18"/>
      </w:rPr>
      <w:t>1</w:t>
    </w:r>
    <w:r>
      <w:rPr>
        <w:rFonts w:ascii="宋体" w:hAnsi="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22143">
    <w:pPr>
      <w:pStyle w:val="11"/>
      <w:jc w:val="center"/>
    </w:pPr>
    <w:r>
      <w:fldChar w:fldCharType="begin"/>
    </w:r>
    <w:r>
      <w:instrText xml:space="preserve"> PAGE   \* MERGEFORMAT </w:instrText>
    </w:r>
    <w:r>
      <w:fldChar w:fldCharType="separate"/>
    </w:r>
    <w:r>
      <w:rPr>
        <w:lang w:val="zh-CN"/>
      </w:rPr>
      <w:t>24</w:t>
    </w:r>
    <w:r>
      <w:rPr>
        <w:lang w:val="zh-CN"/>
      </w:rPr>
      <w:fldChar w:fldCharType="end"/>
    </w:r>
  </w:p>
  <w:p w14:paraId="4682BF29">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73FB1E"/>
    <w:multiLevelType w:val="singleLevel"/>
    <w:tmpl w:val="7473FB1E"/>
    <w:lvl w:ilvl="0" w:tentative="0">
      <w:start w:val="1"/>
      <w:numFmt w:val="chineseCounting"/>
      <w:suff w:val="nothing"/>
      <w:lvlText w:val="（%1）"/>
      <w:lvlJc w:val="left"/>
      <w:pPr>
        <w:ind w:left="481"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2MzJiN2Q4ZTUxMTFmYTdkMzM1NGQ0ZTY5ZTIzMjEifQ=="/>
  </w:docVars>
  <w:rsids>
    <w:rsidRoot w:val="009F0536"/>
    <w:rsid w:val="0000662F"/>
    <w:rsid w:val="00023E75"/>
    <w:rsid w:val="00033C6A"/>
    <w:rsid w:val="00063AC2"/>
    <w:rsid w:val="000774F0"/>
    <w:rsid w:val="0008308B"/>
    <w:rsid w:val="00097269"/>
    <w:rsid w:val="000A769F"/>
    <w:rsid w:val="000D3889"/>
    <w:rsid w:val="0010682D"/>
    <w:rsid w:val="00112083"/>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3D54B2"/>
    <w:rsid w:val="0040369A"/>
    <w:rsid w:val="00482D36"/>
    <w:rsid w:val="00490629"/>
    <w:rsid w:val="0049507B"/>
    <w:rsid w:val="004A738F"/>
    <w:rsid w:val="004B1589"/>
    <w:rsid w:val="004B721F"/>
    <w:rsid w:val="004D2886"/>
    <w:rsid w:val="004D7065"/>
    <w:rsid w:val="004E0B6C"/>
    <w:rsid w:val="005011E1"/>
    <w:rsid w:val="00505A51"/>
    <w:rsid w:val="0051384E"/>
    <w:rsid w:val="00521603"/>
    <w:rsid w:val="00536012"/>
    <w:rsid w:val="0054657E"/>
    <w:rsid w:val="0058135D"/>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12E8"/>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B1F73"/>
    <w:rsid w:val="00AD11A5"/>
    <w:rsid w:val="00AE47F5"/>
    <w:rsid w:val="00AF5F33"/>
    <w:rsid w:val="00B04FAB"/>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47D0C"/>
    <w:rsid w:val="00F63327"/>
    <w:rsid w:val="00F80A29"/>
    <w:rsid w:val="00FA7CA5"/>
    <w:rsid w:val="00FB3600"/>
    <w:rsid w:val="00FD08EC"/>
    <w:rsid w:val="00FD7690"/>
    <w:rsid w:val="015C00CA"/>
    <w:rsid w:val="03392B04"/>
    <w:rsid w:val="03F723CD"/>
    <w:rsid w:val="04614EE6"/>
    <w:rsid w:val="0BB772BD"/>
    <w:rsid w:val="0C9A69BD"/>
    <w:rsid w:val="132F0E9E"/>
    <w:rsid w:val="13FA068E"/>
    <w:rsid w:val="175E0F34"/>
    <w:rsid w:val="1AF220BF"/>
    <w:rsid w:val="1B0523E0"/>
    <w:rsid w:val="1C9256B2"/>
    <w:rsid w:val="20692FE3"/>
    <w:rsid w:val="24987A32"/>
    <w:rsid w:val="293A043E"/>
    <w:rsid w:val="2E7C489E"/>
    <w:rsid w:val="30F2476F"/>
    <w:rsid w:val="32E07E44"/>
    <w:rsid w:val="3583298F"/>
    <w:rsid w:val="36E50544"/>
    <w:rsid w:val="3A791A5E"/>
    <w:rsid w:val="3C213996"/>
    <w:rsid w:val="3C8C0797"/>
    <w:rsid w:val="3DF765F4"/>
    <w:rsid w:val="3F240CFD"/>
    <w:rsid w:val="425753C0"/>
    <w:rsid w:val="43622A01"/>
    <w:rsid w:val="43813CAB"/>
    <w:rsid w:val="471D6852"/>
    <w:rsid w:val="47DD5843"/>
    <w:rsid w:val="4884779B"/>
    <w:rsid w:val="4B6656B6"/>
    <w:rsid w:val="4BC45254"/>
    <w:rsid w:val="4D95523B"/>
    <w:rsid w:val="4EE907F8"/>
    <w:rsid w:val="51170AB1"/>
    <w:rsid w:val="56E261C8"/>
    <w:rsid w:val="5B5A41D4"/>
    <w:rsid w:val="5E8B37D3"/>
    <w:rsid w:val="60802CB5"/>
    <w:rsid w:val="61843416"/>
    <w:rsid w:val="63D3192F"/>
    <w:rsid w:val="65733E15"/>
    <w:rsid w:val="673A1362"/>
    <w:rsid w:val="69926305"/>
    <w:rsid w:val="6A8071D0"/>
    <w:rsid w:val="6B6E6C2D"/>
    <w:rsid w:val="6EF54E4F"/>
    <w:rsid w:val="6FE56176"/>
    <w:rsid w:val="709D4A51"/>
    <w:rsid w:val="73642660"/>
    <w:rsid w:val="74C374EF"/>
    <w:rsid w:val="755B3BD0"/>
    <w:rsid w:val="77056A0B"/>
    <w:rsid w:val="79100749"/>
    <w:rsid w:val="79C15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7"/>
    <w:qFormat/>
    <w:uiPriority w:val="0"/>
    <w:pPr>
      <w:keepNext/>
      <w:keepLines/>
      <w:spacing w:before="260" w:after="260" w:line="416" w:lineRule="auto"/>
      <w:outlineLvl w:val="2"/>
    </w:pPr>
    <w:rPr>
      <w:b/>
      <w:bCs/>
      <w:sz w:val="32"/>
      <w:szCs w:val="32"/>
    </w:rPr>
  </w:style>
  <w:style w:type="paragraph" w:styleId="5">
    <w:name w:val="heading 4"/>
    <w:basedOn w:val="1"/>
    <w:next w:val="1"/>
    <w:link w:val="22"/>
    <w:qFormat/>
    <w:uiPriority w:val="0"/>
    <w:pPr>
      <w:keepNext/>
      <w:keepLines/>
      <w:spacing w:before="280" w:after="290" w:line="376" w:lineRule="auto"/>
      <w:outlineLvl w:val="3"/>
    </w:pPr>
    <w:rPr>
      <w:rFonts w:ascii="Cambria" w:hAnsi="Cambria"/>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sz w:val="20"/>
      <w:szCs w:val="20"/>
    </w:rPr>
  </w:style>
  <w:style w:type="paragraph" w:styleId="7">
    <w:name w:val="Document Map"/>
    <w:basedOn w:val="1"/>
    <w:qFormat/>
    <w:uiPriority w:val="0"/>
    <w:pPr>
      <w:shd w:val="clear" w:color="auto" w:fill="000080"/>
    </w:pPr>
  </w:style>
  <w:style w:type="paragraph" w:styleId="8">
    <w:name w:val="toc 5"/>
    <w:basedOn w:val="1"/>
    <w:next w:val="1"/>
    <w:autoRedefine/>
    <w:qFormat/>
    <w:uiPriority w:val="0"/>
    <w:pPr>
      <w:ind w:left="840"/>
      <w:jc w:val="left"/>
    </w:pPr>
    <w:rPr>
      <w:sz w:val="20"/>
      <w:szCs w:val="20"/>
    </w:rPr>
  </w:style>
  <w:style w:type="paragraph" w:styleId="9">
    <w:name w:val="toc 3"/>
    <w:basedOn w:val="1"/>
    <w:next w:val="1"/>
    <w:qFormat/>
    <w:uiPriority w:val="0"/>
    <w:pPr>
      <w:adjustRightInd w:val="0"/>
      <w:snapToGrid w:val="0"/>
      <w:spacing w:line="360" w:lineRule="auto"/>
      <w:ind w:firstLine="400" w:firstLineChars="400"/>
      <w:jc w:val="left"/>
    </w:pPr>
    <w:rPr>
      <w:sz w:val="24"/>
      <w:szCs w:val="20"/>
    </w:rPr>
  </w:style>
  <w:style w:type="paragraph" w:styleId="10">
    <w:name w:val="toc 8"/>
    <w:basedOn w:val="1"/>
    <w:next w:val="1"/>
    <w:autoRedefine/>
    <w:qFormat/>
    <w:uiPriority w:val="0"/>
    <w:pPr>
      <w:ind w:left="1470"/>
      <w:jc w:val="left"/>
    </w:pPr>
    <w:rPr>
      <w:sz w:val="20"/>
      <w:szCs w:val="20"/>
    </w:rPr>
  </w:style>
  <w:style w:type="paragraph" w:styleId="11">
    <w:name w:val="footer"/>
    <w:basedOn w:val="1"/>
    <w:link w:val="25"/>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adjustRightInd w:val="0"/>
      <w:snapToGrid w:val="0"/>
      <w:spacing w:line="360" w:lineRule="auto"/>
      <w:jc w:val="left"/>
    </w:pPr>
    <w:rPr>
      <w:b/>
      <w:bCs/>
      <w:sz w:val="24"/>
      <w:szCs w:val="20"/>
    </w:rPr>
  </w:style>
  <w:style w:type="paragraph" w:styleId="14">
    <w:name w:val="toc 4"/>
    <w:basedOn w:val="1"/>
    <w:next w:val="1"/>
    <w:autoRedefine/>
    <w:qFormat/>
    <w:uiPriority w:val="0"/>
    <w:pPr>
      <w:ind w:left="630"/>
      <w:jc w:val="left"/>
    </w:pPr>
    <w:rPr>
      <w:sz w:val="20"/>
      <w:szCs w:val="20"/>
    </w:rPr>
  </w:style>
  <w:style w:type="paragraph" w:styleId="15">
    <w:name w:val="toc 6"/>
    <w:basedOn w:val="1"/>
    <w:next w:val="1"/>
    <w:autoRedefine/>
    <w:qFormat/>
    <w:uiPriority w:val="0"/>
    <w:pPr>
      <w:ind w:left="1050"/>
      <w:jc w:val="left"/>
    </w:pPr>
    <w:rPr>
      <w:sz w:val="20"/>
      <w:szCs w:val="20"/>
    </w:rPr>
  </w:style>
  <w:style w:type="paragraph" w:styleId="16">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7">
    <w:name w:val="toc 9"/>
    <w:basedOn w:val="1"/>
    <w:next w:val="1"/>
    <w:autoRedefine/>
    <w:qFormat/>
    <w:uiPriority w:val="0"/>
    <w:pPr>
      <w:ind w:left="1680"/>
      <w:jc w:val="left"/>
    </w:pPr>
    <w:rPr>
      <w:sz w:val="20"/>
      <w:szCs w:val="20"/>
    </w:rPr>
  </w:style>
  <w:style w:type="character" w:styleId="20">
    <w:name w:val="page number"/>
    <w:basedOn w:val="19"/>
    <w:qFormat/>
    <w:uiPriority w:val="0"/>
  </w:style>
  <w:style w:type="character" w:styleId="21">
    <w:name w:val="Hyperlink"/>
    <w:basedOn w:val="19"/>
    <w:qFormat/>
    <w:uiPriority w:val="0"/>
    <w:rPr>
      <w:color w:val="0000FF"/>
      <w:u w:val="single"/>
    </w:rPr>
  </w:style>
  <w:style w:type="character" w:customStyle="1" w:styleId="22">
    <w:name w:val="标题 4 字符"/>
    <w:basedOn w:val="19"/>
    <w:link w:val="5"/>
    <w:qFormat/>
    <w:uiPriority w:val="0"/>
    <w:rPr>
      <w:rFonts w:ascii="Cambria" w:hAnsi="Cambria"/>
      <w:b/>
      <w:bCs/>
      <w:kern w:val="2"/>
      <w:sz w:val="28"/>
      <w:szCs w:val="28"/>
    </w:rPr>
  </w:style>
  <w:style w:type="paragraph" w:styleId="23">
    <w:name w:val="No Spacing"/>
    <w:link w:val="24"/>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4">
    <w:name w:val="无间隔 字符"/>
    <w:link w:val="23"/>
    <w:qFormat/>
    <w:locked/>
    <w:uiPriority w:val="0"/>
    <w:rPr>
      <w:rFonts w:eastAsia="仿宋_GB2312"/>
      <w:sz w:val="30"/>
      <w:szCs w:val="22"/>
      <w:lang w:bidi="ar-SA"/>
    </w:rPr>
  </w:style>
  <w:style w:type="character" w:customStyle="1" w:styleId="25">
    <w:name w:val="页脚 字符"/>
    <w:basedOn w:val="19"/>
    <w:link w:val="11"/>
    <w:qFormat/>
    <w:uiPriority w:val="0"/>
    <w:rPr>
      <w:kern w:val="2"/>
      <w:sz w:val="18"/>
      <w:szCs w:val="18"/>
    </w:rPr>
  </w:style>
  <w:style w:type="paragraph" w:styleId="26">
    <w:name w:val="List Paragraph"/>
    <w:basedOn w:val="1"/>
    <w:qFormat/>
    <w:uiPriority w:val="0"/>
    <w:pPr>
      <w:ind w:firstLine="420" w:firstLineChars="200"/>
    </w:pPr>
  </w:style>
  <w:style w:type="character" w:customStyle="1" w:styleId="27">
    <w:name w:val="标题 3 字符"/>
    <w:basedOn w:val="19"/>
    <w:link w:val="4"/>
    <w:qFormat/>
    <w:uiPriority w:val="0"/>
    <w:rPr>
      <w:b/>
      <w:bCs/>
      <w:kern w:val="2"/>
      <w:sz w:val="32"/>
      <w:szCs w:val="32"/>
    </w:rPr>
  </w:style>
  <w:style w:type="paragraph" w:customStyle="1" w:styleId="28">
    <w:name w:val="NormalIndent"/>
    <w:basedOn w:val="1"/>
    <w:qFormat/>
    <w:uiPriority w:val="0"/>
    <w:pPr>
      <w:ind w:firstLine="420" w:firstLineChars="200"/>
    </w:pPr>
    <w:rPr>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2023</a:t>
            </a:r>
            <a:r>
              <a:rPr lang="zh-CN" altLang="en-US"/>
              <a:t>年收入</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a:solidFill>
              <a:schemeClr val="tx2">
                <a:lumMod val="60000"/>
                <a:lumOff val="40000"/>
              </a:schemeClr>
            </a:solidFill>
          </c:spPr>
          <c:explosion val="0"/>
          <c:dPt>
            <c:idx val="0"/>
            <c:bubble3D val="0"/>
            <c:spPr>
              <a:solidFill>
                <a:schemeClr val="tx2">
                  <a:lumMod val="60000"/>
                  <a:lumOff val="40000"/>
                </a:schemeClr>
              </a:solidFill>
              <a:ln>
                <a:solidFill>
                  <a:schemeClr val="bg1"/>
                </a:solidFill>
              </a:ln>
              <a:effectLst/>
            </c:spPr>
          </c:dPt>
          <c:dPt>
            <c:idx val="1"/>
            <c:bubble3D val="0"/>
            <c:spPr>
              <a:solidFill>
                <a:schemeClr val="tx2">
                  <a:lumMod val="20000"/>
                  <a:lumOff val="80000"/>
                </a:schemeClr>
              </a:solidFill>
              <a:ln>
                <a:solidFill>
                  <a:schemeClr val="bg1"/>
                </a:solidFill>
              </a:ln>
              <a:effectLst/>
            </c:spPr>
          </c:dPt>
          <c:dLbls>
            <c:dLbl>
              <c:idx val="0"/>
              <c:layout>
                <c:manualLayout>
                  <c:x val="-0.197898968604796"/>
                  <c:y val="0.0049174411671052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rPr lang="en-US" altLang="zh-CN"/>
                      <a:t>50.19%</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manualLayout>
                      <c:w val="0.130587098332931"/>
                      <c:h val="0.150658733531662"/>
                    </c:manualLayout>
                  </c15:layout>
                </c:ext>
              </c:extLst>
            </c:dLbl>
            <c:dLbl>
              <c:idx val="1"/>
              <c:layout>
                <c:manualLayout>
                  <c:x val="0.149988077420378"/>
                  <c:y val="0.00410436525721383"/>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rPr lang="en-US" altLang="zh-CN"/>
                      <a:t>49.81</a:t>
                    </a:r>
                    <a:r>
                      <a:rPr lang="en-US"/>
                      <a:t>%</a:t>
                    </a:r>
                    <a:endParaRPr lang="en-US"/>
                  </a:p>
                </c:rich>
              </c:tx>
              <c:dLblPos val="bestFit"/>
              <c:showLegendKey val="0"/>
              <c:showVal val="0"/>
              <c:showCatName val="0"/>
              <c:showSerName val="0"/>
              <c:showPercent val="1"/>
              <c:showBubbleSize val="0"/>
              <c:extLst>
                <c:ext xmlns:c15="http://schemas.microsoft.com/office/drawing/2012/chart" uri="{CE6537A1-D6FC-4f65-9D91-7224C49458BB}">
                  <c15:layout>
                    <c:manualLayout>
                      <c:w val="0.114037207054844"/>
                      <c:h val="0.147046323841904"/>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  1733.67万元</c:v>
                </c:pt>
                <c:pt idx="1">
                  <c:v>经营收入  1720.84万元</c:v>
                </c:pt>
              </c:strCache>
            </c:strRef>
          </c:cat>
          <c:val>
            <c:numRef>
              <c:f>Sheet1!$B$2:$B$3</c:f>
              <c:numCache>
                <c:formatCode>#,##0.00</c:formatCode>
                <c:ptCount val="2"/>
                <c:pt idx="0">
                  <c:v>1733.67</c:v>
                </c:pt>
                <c:pt idx="1">
                  <c:v>1720.84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8032864404776"/>
          <c:y val="0.442472460220318"/>
          <c:w val="0.40028372148008"/>
          <c:h val="0.35618115055079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2023</a:t>
            </a:r>
            <a:r>
              <a:rPr lang="zh-CN" altLang="en-US"/>
              <a:t>年支出</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a:solidFill>
              <a:schemeClr val="tx2">
                <a:lumMod val="60000"/>
                <a:lumOff val="40000"/>
              </a:schemeClr>
            </a:solidFill>
          </c:spPr>
          <c:explosion val="0"/>
          <c:dPt>
            <c:idx val="0"/>
            <c:bubble3D val="0"/>
            <c:spPr>
              <a:solidFill>
                <a:schemeClr val="tx2">
                  <a:lumMod val="60000"/>
                  <a:lumOff val="40000"/>
                </a:schemeClr>
              </a:solidFill>
              <a:ln>
                <a:solidFill>
                  <a:schemeClr val="bg1"/>
                </a:solidFill>
              </a:ln>
              <a:effectLst/>
            </c:spPr>
          </c:dPt>
          <c:dPt>
            <c:idx val="1"/>
            <c:bubble3D val="0"/>
            <c:spPr>
              <a:solidFill>
                <a:schemeClr val="tx2">
                  <a:lumMod val="20000"/>
                  <a:lumOff val="80000"/>
                </a:schemeClr>
              </a:solidFill>
              <a:ln>
                <a:solidFill>
                  <a:schemeClr val="bg1"/>
                </a:solidFill>
              </a:ln>
              <a:effectLst/>
            </c:spPr>
          </c:dPt>
          <c:dPt>
            <c:idx val="2"/>
            <c:bubble3D val="0"/>
            <c:spPr>
              <a:solidFill>
                <a:schemeClr val="tx2">
                  <a:lumMod val="40000"/>
                  <a:lumOff val="60000"/>
                </a:schemeClr>
              </a:solidFill>
              <a:ln>
                <a:solidFill>
                  <a:schemeClr val="bg1"/>
                </a:solidFill>
              </a:ln>
              <a:effectLst/>
            </c:spPr>
          </c:dPt>
          <c:dLbls>
            <c:dLbl>
              <c:idx val="0"/>
              <c:layout>
                <c:manualLayout>
                  <c:x val="-0.203525915334826"/>
                  <c:y val="0.06367699393826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rPr lang="en-US" altLang="zh-CN"/>
                      <a:t>46.35%</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manualLayout>
                      <c:w val="0.140734860512588"/>
                      <c:h val="0.175206611570248"/>
                    </c:manualLayout>
                  </c15:layout>
                </c:ext>
              </c:extLst>
            </c:dLbl>
            <c:dLbl>
              <c:idx val="1"/>
              <c:layout>
                <c:manualLayout>
                  <c:x val="0.0399559699750803"/>
                  <c:y val="-0.120175269736944"/>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rPr lang="en-US" altLang="zh-CN"/>
                      <a:t>16.41%</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manualLayout>
                      <c:w val="0.101270129281016"/>
                      <c:h val="0.159504132231405"/>
                    </c:manualLayout>
                  </c15:layout>
                </c:ext>
              </c:extLst>
            </c:dLbl>
            <c:dLbl>
              <c:idx val="2"/>
              <c:layout>
                <c:manualLayout>
                  <c:x val="0.180556207844817"/>
                  <c:y val="0.12336853766423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rPr lang="en-US" altLang="zh-CN"/>
                      <a:t>37.24%</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manualLayout>
                      <c:w val="0.152302109321842"/>
                      <c:h val="0.157231404958678"/>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基本支出  1280.27万元</c:v>
                </c:pt>
                <c:pt idx="1">
                  <c:v>项目支出  453.4万元</c:v>
                </c:pt>
                <c:pt idx="2">
                  <c:v>经营支出  1028.66万元</c:v>
                </c:pt>
              </c:strCache>
            </c:strRef>
          </c:cat>
          <c:val>
            <c:numRef>
              <c:f>Sheet1!$B$2:$B$4</c:f>
              <c:numCache>
                <c:formatCode>#,##0.00</c:formatCode>
                <c:ptCount val="3"/>
                <c:pt idx="0">
                  <c:v>1280.27</c:v>
                </c:pt>
                <c:pt idx="1" c:formatCode="General">
                  <c:v>453.4</c:v>
                </c:pt>
                <c:pt idx="2">
                  <c:v>1028.66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34090359990336"/>
          <c:y val="0.36910327241819"/>
          <c:w val="0.351413384875574"/>
          <c:h val="0.35380365490862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10841</Words>
  <Characters>12314</Characters>
  <Lines>98</Lines>
  <Paragraphs>27</Paragraphs>
  <TotalTime>55</TotalTime>
  <ScaleCrop>false</ScaleCrop>
  <LinksUpToDate>false</LinksUpToDate>
  <CharactersWithSpaces>12956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书悦</cp:lastModifiedBy>
  <cp:lastPrinted>2021-04-16T00:45:00Z</cp:lastPrinted>
  <dcterms:modified xsi:type="dcterms:W3CDTF">2024-08-29T10:17:03Z</dcterms:modified>
  <dc:title>××年度××部门/单位</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F74751066C6144D68BECFCFB9B86CD1E_12</vt:lpwstr>
  </property>
</Properties>
</file>