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3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580"/>
        <w:gridCol w:w="1570"/>
        <w:gridCol w:w="3602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A5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乌拉特后旗紫金矿业有限公司</w:t>
            </w:r>
            <w:bookmarkEnd w:id="0"/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233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巴彦淖尔市乌拉特后旗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邱立奇15280365223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地下运矿车、变压器、高压电力电缆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于志东  顾显超  贾俊杰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乌拉特后旗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25802A3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01545、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1556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01570、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1580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01581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</w:tbl>
    <w:p w14:paraId="4E29C3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8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snapToGrid w:val="0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2026-01-27T01:46:03Z</dcterms:created>
  <dc:creator>Administrator</dc:creator>
  <cp:lastModifiedBy>阳光</cp:lastModifiedBy>
  <dcterms:modified xsi:type="dcterms:W3CDTF">2026-01-27T01:53:44Z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eyJoZGlkIjoiNGEyY2FlODlmYWI3ZjUyMjRjOWRjYjU0OWM4NmZlZGMiLCJ1c2VySWQiOiI2NTY3NDc1OTkifQ==</vt:lpwstr>
  </property>
  <property fmtid="{D5CDD505-2E9C-101B-9397-08002B2CF9AE}" pid="4" name="ICV">
    <vt:lpwstr>910B1BEB50B64C228FB46D1A5029C9CA_12</vt:lpwstr>
  </property>
</Properties>
</file>