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5D3DB"/>
    <w:p w14:paraId="49B9A45D"/>
    <w:p w14:paraId="221B49FB"/>
    <w:p w14:paraId="39452D3F">
      <w:pPr>
        <w:pStyle w:val="6"/>
        <w:spacing w:line="256" w:lineRule="auto"/>
      </w:pPr>
    </w:p>
    <w:p w14:paraId="56B7B125">
      <w:pPr>
        <w:pStyle w:val="6"/>
        <w:spacing w:line="256" w:lineRule="auto"/>
      </w:pPr>
    </w:p>
    <w:p w14:paraId="4269D2F1">
      <w:pPr>
        <w:pStyle w:val="6"/>
        <w:spacing w:line="256" w:lineRule="auto"/>
      </w:pPr>
    </w:p>
    <w:p w14:paraId="75CBB9D8">
      <w:pPr>
        <w:pStyle w:val="6"/>
        <w:spacing w:line="256" w:lineRule="auto"/>
      </w:pPr>
    </w:p>
    <w:p w14:paraId="7F37A716">
      <w:pPr>
        <w:pStyle w:val="6"/>
        <w:spacing w:line="257" w:lineRule="auto"/>
        <w:rPr>
          <w:rFonts w:hint="eastAsia" w:ascii="宋体" w:hAnsi="宋体" w:eastAsia="宋体" w:cs="宋体"/>
        </w:rPr>
      </w:pPr>
    </w:p>
    <w:p w14:paraId="7320AAC9">
      <w:pPr>
        <w:pStyle w:val="6"/>
        <w:spacing w:line="257" w:lineRule="auto"/>
        <w:rPr>
          <w:rFonts w:hint="eastAsia" w:ascii="宋体" w:hAnsi="宋体" w:eastAsia="宋体" w:cs="宋体"/>
        </w:rPr>
      </w:pPr>
    </w:p>
    <w:p w14:paraId="710FDE15">
      <w:pPr>
        <w:spacing w:line="560" w:lineRule="exact"/>
        <w:jc w:val="center"/>
        <w:rPr>
          <w:rFonts w:hint="eastAsia" w:ascii="宋体" w:hAnsi="宋体" w:eastAsia="宋体" w:cs="宋体"/>
          <w:b/>
          <w:bCs/>
          <w:sz w:val="16"/>
          <w:szCs w:val="16"/>
        </w:rPr>
      </w:pPr>
      <w:r>
        <w:rPr>
          <w:rFonts w:hint="eastAsia" w:ascii="Times New Roman" w:hAnsi="Times New Roman" w:eastAsia="宋体" w:cs="Times New Roman"/>
          <w:b/>
          <w:bCs/>
          <w:sz w:val="48"/>
          <w:szCs w:val="48"/>
          <w:lang w:eastAsia="zh-CN"/>
        </w:rPr>
        <w:t>2026</w:t>
      </w:r>
      <w:r>
        <w:rPr>
          <w:rFonts w:hint="eastAsia" w:ascii="宋体" w:hAnsi="宋体" w:eastAsia="宋体" w:cs="宋体"/>
          <w:b/>
          <w:bCs/>
          <w:sz w:val="48"/>
          <w:szCs w:val="48"/>
        </w:rPr>
        <w:t>年度</w:t>
      </w:r>
      <w:bookmarkStart w:id="0" w:name="PO_title1"/>
      <w:r>
        <w:rPr>
          <w:rFonts w:hint="eastAsia" w:ascii="宋体" w:hAnsi="宋体" w:eastAsia="宋体" w:cs="宋体"/>
          <w:b/>
          <w:bCs/>
          <w:sz w:val="48"/>
          <w:szCs w:val="48"/>
        </w:rPr>
        <w:t>内蒙古自治区特种设备检验研究院</w:t>
      </w:r>
    </w:p>
    <w:bookmarkEnd w:id="0"/>
    <w:p w14:paraId="2E03D40D">
      <w:pPr>
        <w:spacing w:line="600" w:lineRule="exact"/>
        <w:jc w:val="center"/>
        <w:rPr>
          <w:rFonts w:hint="eastAsia" w:ascii="黑体" w:hAnsi="黑体" w:eastAsia="黑体" w:cs="黑体"/>
          <w:sz w:val="52"/>
          <w:szCs w:val="52"/>
        </w:rPr>
      </w:pPr>
      <w:r>
        <w:rPr>
          <w:rFonts w:hint="eastAsia" w:ascii="宋体" w:hAnsi="宋体" w:eastAsia="宋体" w:cs="宋体"/>
          <w:b/>
          <w:bCs/>
          <w:sz w:val="48"/>
          <w:szCs w:val="48"/>
        </w:rPr>
        <w:t>预算公开</w:t>
      </w:r>
    </w:p>
    <w:p w14:paraId="22329259">
      <w:pPr>
        <w:pStyle w:val="6"/>
        <w:spacing w:line="244" w:lineRule="auto"/>
      </w:pPr>
    </w:p>
    <w:p w14:paraId="404B5CB5">
      <w:pPr>
        <w:pStyle w:val="6"/>
        <w:spacing w:line="244" w:lineRule="auto"/>
      </w:pPr>
    </w:p>
    <w:p w14:paraId="2DF390E1">
      <w:pPr>
        <w:pStyle w:val="6"/>
        <w:spacing w:line="244" w:lineRule="auto"/>
      </w:pPr>
    </w:p>
    <w:p w14:paraId="37A4DD5D">
      <w:pPr>
        <w:pStyle w:val="6"/>
        <w:spacing w:line="244" w:lineRule="auto"/>
      </w:pPr>
    </w:p>
    <w:p w14:paraId="5CC76535">
      <w:pPr>
        <w:pStyle w:val="6"/>
        <w:spacing w:line="244" w:lineRule="auto"/>
      </w:pPr>
    </w:p>
    <w:p w14:paraId="79708F1C">
      <w:pPr>
        <w:pStyle w:val="6"/>
        <w:spacing w:line="244" w:lineRule="auto"/>
      </w:pPr>
    </w:p>
    <w:p w14:paraId="79B04DA7">
      <w:pPr>
        <w:pStyle w:val="6"/>
        <w:spacing w:line="244" w:lineRule="auto"/>
      </w:pPr>
    </w:p>
    <w:p w14:paraId="16A47F3B">
      <w:pPr>
        <w:pStyle w:val="6"/>
        <w:spacing w:line="245" w:lineRule="auto"/>
      </w:pPr>
    </w:p>
    <w:p w14:paraId="538F60F0">
      <w:pPr>
        <w:pStyle w:val="6"/>
        <w:spacing w:line="245" w:lineRule="auto"/>
      </w:pPr>
    </w:p>
    <w:p w14:paraId="3053FF6E">
      <w:pPr>
        <w:pStyle w:val="6"/>
        <w:spacing w:line="245" w:lineRule="auto"/>
      </w:pPr>
    </w:p>
    <w:p w14:paraId="1FBAB173">
      <w:pPr>
        <w:pStyle w:val="6"/>
        <w:spacing w:line="245" w:lineRule="auto"/>
      </w:pPr>
    </w:p>
    <w:p w14:paraId="6647FB66">
      <w:pPr>
        <w:pStyle w:val="6"/>
        <w:spacing w:line="245" w:lineRule="auto"/>
      </w:pPr>
    </w:p>
    <w:p w14:paraId="6E616840">
      <w:pPr>
        <w:pStyle w:val="6"/>
        <w:spacing w:line="245" w:lineRule="auto"/>
      </w:pPr>
    </w:p>
    <w:p w14:paraId="7975C44F">
      <w:pPr>
        <w:pStyle w:val="6"/>
        <w:spacing w:line="245" w:lineRule="auto"/>
      </w:pPr>
    </w:p>
    <w:p w14:paraId="3CB93E70">
      <w:pPr>
        <w:pStyle w:val="6"/>
        <w:spacing w:line="245" w:lineRule="auto"/>
      </w:pPr>
    </w:p>
    <w:p w14:paraId="39B2FE42">
      <w:pPr>
        <w:pStyle w:val="6"/>
        <w:spacing w:line="245" w:lineRule="auto"/>
      </w:pPr>
    </w:p>
    <w:p w14:paraId="54686D0C">
      <w:pPr>
        <w:pStyle w:val="6"/>
        <w:spacing w:line="245" w:lineRule="auto"/>
      </w:pPr>
    </w:p>
    <w:p w14:paraId="1B0FE196">
      <w:pPr>
        <w:pStyle w:val="6"/>
        <w:spacing w:line="245" w:lineRule="auto"/>
      </w:pPr>
    </w:p>
    <w:p w14:paraId="04AC4D71">
      <w:pPr>
        <w:pStyle w:val="6"/>
        <w:spacing w:line="245" w:lineRule="auto"/>
      </w:pPr>
    </w:p>
    <w:p w14:paraId="677AABE0">
      <w:pPr>
        <w:pStyle w:val="6"/>
        <w:spacing w:line="245" w:lineRule="auto"/>
      </w:pPr>
    </w:p>
    <w:p w14:paraId="0AADA458">
      <w:pPr>
        <w:pStyle w:val="6"/>
        <w:spacing w:line="245" w:lineRule="auto"/>
      </w:pPr>
    </w:p>
    <w:p w14:paraId="3896B56E">
      <w:pPr>
        <w:pStyle w:val="6"/>
        <w:spacing w:line="245" w:lineRule="auto"/>
      </w:pPr>
    </w:p>
    <w:p w14:paraId="65E9E1A3">
      <w:pPr>
        <w:pStyle w:val="6"/>
        <w:spacing w:line="245" w:lineRule="auto"/>
      </w:pPr>
    </w:p>
    <w:p w14:paraId="62751DE9">
      <w:pPr>
        <w:pStyle w:val="6"/>
        <w:spacing w:line="245" w:lineRule="auto"/>
      </w:pPr>
    </w:p>
    <w:p w14:paraId="7F1C5AB0">
      <w:pPr>
        <w:pStyle w:val="6"/>
        <w:spacing w:line="245" w:lineRule="auto"/>
      </w:pPr>
    </w:p>
    <w:p w14:paraId="0AEE1A07">
      <w:pPr>
        <w:pStyle w:val="6"/>
        <w:spacing w:line="245" w:lineRule="auto"/>
      </w:pPr>
    </w:p>
    <w:p w14:paraId="4B46469F">
      <w:pPr>
        <w:pStyle w:val="6"/>
        <w:spacing w:line="245" w:lineRule="auto"/>
        <w:jc w:val="center"/>
      </w:pPr>
    </w:p>
    <w:p w14:paraId="5398B4F6">
      <w:pPr>
        <w:spacing w:line="600" w:lineRule="exact"/>
        <w:jc w:val="center"/>
        <w:rPr>
          <w:rFonts w:hint="eastAsia" w:ascii="黑体" w:hAnsi="黑体" w:eastAsia="黑体" w:cs="黑体"/>
          <w:spacing w:val="2"/>
          <w:sz w:val="32"/>
          <w:szCs w:val="32"/>
        </w:rPr>
      </w:pPr>
    </w:p>
    <w:p w14:paraId="47169ECC">
      <w:pPr>
        <w:spacing w:line="600" w:lineRule="exact"/>
        <w:jc w:val="center"/>
        <w:rPr>
          <w:rFonts w:hint="eastAsia" w:ascii="黑体" w:hAnsi="黑体" w:eastAsia="黑体" w:cs="黑体"/>
          <w:spacing w:val="0"/>
          <w:sz w:val="31"/>
          <w:szCs w:val="31"/>
        </w:rPr>
      </w:pP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批复时间：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r>
        <w:rPr>
          <w:rFonts w:hint="eastAsia" w:ascii="黑体" w:hAnsi="黑体" w:eastAsia="黑体" w:cs="黑体"/>
          <w:spacing w:val="0"/>
          <w:sz w:val="32"/>
          <w:szCs w:val="32"/>
          <w:lang w:val="en-US" w:eastAsia="zh-CN"/>
        </w:rPr>
        <w:t>2</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14</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日</w:t>
      </w:r>
    </w:p>
    <w:p w14:paraId="1973F7C6">
      <w:pPr>
        <w:spacing w:line="600" w:lineRule="exact"/>
        <w:ind w:firstLine="2880" w:firstLineChars="900"/>
        <w:jc w:val="both"/>
        <w:rPr>
          <w:rFonts w:hint="eastAsia" w:ascii="黑体" w:hAnsi="黑体" w:eastAsia="黑体" w:cs="黑体"/>
          <w:sz w:val="31"/>
          <w:szCs w:val="31"/>
        </w:rPr>
      </w:pPr>
      <w:r>
        <w:rPr>
          <w:rFonts w:ascii="黑体" w:hAnsi="黑体" w:eastAsia="黑体" w:cs="黑体"/>
          <w:spacing w:val="0"/>
          <w:sz w:val="32"/>
          <w:szCs w:val="32"/>
        </w:rPr>
        <w:t>公开时间：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bookmarkStart w:id="1" w:name="PO_part1A3"/>
      <w:r>
        <w:rPr>
          <w:rFonts w:hint="eastAsia" w:ascii="黑体" w:hAnsi="黑体" w:eastAsia="黑体" w:cs="黑体"/>
          <w:spacing w:val="0"/>
          <w:sz w:val="32"/>
          <w:szCs w:val="32"/>
          <w:lang w:val="en-US" w:eastAsia="zh-CN"/>
        </w:rPr>
        <w:t>3</w:t>
      </w:r>
      <w:r>
        <w:rPr>
          <w:rFonts w:hint="eastAsia" w:ascii="黑体" w:hAnsi="黑体" w:eastAsia="黑体" w:cs="黑体"/>
          <w:spacing w:val="0"/>
          <w:sz w:val="11"/>
          <w:szCs w:val="11"/>
        </w:rPr>
        <w:t xml:space="preserve"> </w:t>
      </w:r>
      <w:bookmarkEnd w:id="1"/>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 xml:space="preserve"> 3</w:t>
      </w:r>
      <w:r>
        <w:rPr>
          <w:rFonts w:hint="eastAsia" w:ascii="黑体" w:hAnsi="黑体" w:eastAsia="黑体" w:cs="黑体"/>
          <w:spacing w:val="0"/>
          <w:sz w:val="32"/>
          <w:szCs w:val="32"/>
        </w:rPr>
        <w:t>日</w:t>
      </w:r>
    </w:p>
    <w:p w14:paraId="693BFED7">
      <w:pPr>
        <w:pStyle w:val="2"/>
        <w:ind w:left="0" w:leftChars="0" w:firstLine="0"/>
        <w:rPr>
          <w:rFonts w:ascii="仿宋" w:hAnsi="仿宋" w:eastAsia="仿宋" w:cs="仿宋"/>
          <w:sz w:val="31"/>
          <w:szCs w:val="31"/>
        </w:rPr>
        <w:sectPr>
          <w:footerReference r:id="rId3" w:type="default"/>
          <w:pgSz w:w="11911" w:h="16838"/>
          <w:pgMar w:top="1440" w:right="1242" w:bottom="1440" w:left="1242" w:header="0" w:footer="850" w:gutter="0"/>
          <w:cols w:space="0" w:num="1"/>
          <w:rtlGutter w:val="0"/>
          <w:docGrid w:linePitch="0" w:charSpace="0"/>
        </w:sectPr>
      </w:pPr>
    </w:p>
    <w:p w14:paraId="7FE5ED24">
      <w:pPr>
        <w:spacing w:before="254" w:line="225" w:lineRule="auto"/>
        <w:jc w:val="center"/>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2D0ABD34">
      <w:pPr>
        <w:pStyle w:val="6"/>
        <w:spacing w:line="317" w:lineRule="auto"/>
      </w:pPr>
    </w:p>
    <w:p w14:paraId="48ACF869">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pacing w:val="0"/>
          <w:position w:val="0"/>
          <w:sz w:val="32"/>
          <w:szCs w:val="32"/>
        </w:rPr>
      </w:pPr>
      <w:r>
        <w:rPr>
          <w:rFonts w:ascii="黑体" w:hAnsi="黑体" w:eastAsia="黑体" w:cs="黑体"/>
          <w:spacing w:val="0"/>
          <w:position w:val="0"/>
          <w:sz w:val="32"/>
          <w:szCs w:val="32"/>
        </w:rPr>
        <w:t>第</w:t>
      </w:r>
      <w:r>
        <w:rPr>
          <w:rFonts w:ascii="黑体" w:hAnsi="黑体" w:eastAsia="黑体" w:cs="黑体"/>
          <w:b w:val="0"/>
          <w:bCs w:val="0"/>
          <w:spacing w:val="0"/>
          <w:position w:val="0"/>
          <w:sz w:val="32"/>
          <w:szCs w:val="32"/>
        </w:rPr>
        <w:t xml:space="preserve">一部分 </w:t>
      </w:r>
      <w:r>
        <w:rPr>
          <w:rFonts w:hint="eastAsia" w:ascii="黑体" w:hAnsi="黑体" w:eastAsia="黑体" w:cs="黑体"/>
          <w:b w:val="0"/>
          <w:bCs w:val="0"/>
          <w:spacing w:val="0"/>
          <w:position w:val="0"/>
          <w:sz w:val="32"/>
          <w:szCs w:val="32"/>
        </w:rPr>
        <w:t>单位</w:t>
      </w:r>
      <w:r>
        <w:rPr>
          <w:rFonts w:ascii="黑体" w:hAnsi="黑体" w:eastAsia="黑体" w:cs="黑体"/>
          <w:b w:val="0"/>
          <w:bCs w:val="0"/>
          <w:spacing w:val="0"/>
          <w:position w:val="0"/>
          <w:sz w:val="32"/>
          <w:szCs w:val="32"/>
        </w:rPr>
        <w:t>概况</w:t>
      </w:r>
    </w:p>
    <w:p w14:paraId="63C107C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一、主要职能、职责</w:t>
      </w:r>
    </w:p>
    <w:p w14:paraId="06F45D2A">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二、单位机构设置及预算单位构成情况</w:t>
      </w:r>
    </w:p>
    <w:p w14:paraId="03DBEA5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三、</w:t>
      </w:r>
      <w:r>
        <w:rPr>
          <w:rFonts w:hint="default" w:ascii="Times New Roman" w:hAnsi="Times New Roman" w:eastAsia="仿宋_GB2312" w:cs="Times New Roman"/>
          <w:spacing w:val="7"/>
          <w:sz w:val="32"/>
          <w:szCs w:val="32"/>
          <w:lang w:eastAsia="zh-CN"/>
        </w:rPr>
        <w:t>2026</w:t>
      </w:r>
      <w:r>
        <w:rPr>
          <w:rFonts w:hint="default" w:ascii="Times New Roman" w:hAnsi="Times New Roman" w:eastAsia="仿宋_GB2312" w:cs="Times New Roman"/>
          <w:spacing w:val="7"/>
          <w:sz w:val="32"/>
          <w:szCs w:val="32"/>
        </w:rPr>
        <w:t>年度单位主要工作任务及目标</w:t>
      </w:r>
    </w:p>
    <w:p w14:paraId="091902C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pacing w:val="0"/>
          <w:position w:val="0"/>
          <w:sz w:val="32"/>
          <w:szCs w:val="32"/>
        </w:rPr>
      </w:pPr>
      <w:r>
        <w:rPr>
          <w:rFonts w:ascii="黑体" w:hAnsi="黑体" w:eastAsia="黑体" w:cs="黑体"/>
          <w:spacing w:val="0"/>
          <w:position w:val="0"/>
          <w:sz w:val="32"/>
          <w:szCs w:val="32"/>
        </w:rPr>
        <w:t xml:space="preserve">第二部分 </w:t>
      </w:r>
      <w:r>
        <w:rPr>
          <w:rFonts w:hint="eastAsia" w:ascii="黑体" w:hAnsi="黑体" w:eastAsia="黑体" w:cs="黑体"/>
          <w:spacing w:val="0"/>
          <w:position w:val="0"/>
          <w:sz w:val="32"/>
          <w:szCs w:val="32"/>
          <w:lang w:eastAsia="zh-CN"/>
        </w:rPr>
        <w:t>2026</w:t>
      </w:r>
      <w:r>
        <w:rPr>
          <w:rFonts w:hint="eastAsia" w:ascii="黑体" w:hAnsi="黑体" w:eastAsia="黑体" w:cs="黑体"/>
          <w:spacing w:val="0"/>
          <w:position w:val="0"/>
          <w:sz w:val="32"/>
          <w:szCs w:val="32"/>
        </w:rPr>
        <w:t>年度单位</w:t>
      </w:r>
      <w:r>
        <w:rPr>
          <w:rFonts w:ascii="黑体" w:hAnsi="黑体" w:eastAsia="黑体" w:cs="黑体"/>
          <w:spacing w:val="0"/>
          <w:position w:val="0"/>
          <w:sz w:val="32"/>
          <w:szCs w:val="32"/>
        </w:rPr>
        <w:t>预算情况说明</w:t>
      </w:r>
    </w:p>
    <w:p w14:paraId="674F2DC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一、收支预算总体情况说明</w:t>
      </w:r>
    </w:p>
    <w:p w14:paraId="532BE28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二、收入预算情况说明</w:t>
      </w:r>
    </w:p>
    <w:p w14:paraId="1B062E7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三、支出预算情况说明</w:t>
      </w:r>
    </w:p>
    <w:p w14:paraId="3876C85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四、财政拨款收支预算总体情况说明</w:t>
      </w:r>
    </w:p>
    <w:p w14:paraId="12A7852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五、一般公共预算支出预算情况说明</w:t>
      </w:r>
    </w:p>
    <w:p w14:paraId="6E5D767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六、一般公共预算基本支出预算情况说明</w:t>
      </w:r>
    </w:p>
    <w:p w14:paraId="42D1174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七、一般公共预算“三公”经费支出预算情况说明</w:t>
      </w:r>
    </w:p>
    <w:p w14:paraId="6F5D8872">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八、政府性基金预算支出预算情况说明</w:t>
      </w:r>
    </w:p>
    <w:p w14:paraId="7EA96FA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九、国有资本经营预算支出预算情况说明</w:t>
      </w:r>
    </w:p>
    <w:p w14:paraId="773B854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十、项目支出预算情况说明</w:t>
      </w:r>
    </w:p>
    <w:p w14:paraId="2B2CCFB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十一、机构运行经费支出预算情况说明</w:t>
      </w:r>
    </w:p>
    <w:p w14:paraId="40D2323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十二、政府采购支出预算情况说明</w:t>
      </w:r>
    </w:p>
    <w:p w14:paraId="2A6B068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十三、国有资产占用情况说明</w:t>
      </w:r>
    </w:p>
    <w:p w14:paraId="6CA0EEC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sectPr>
          <w:footerReference r:id="rId4" w:type="default"/>
          <w:pgSz w:w="11911" w:h="16838"/>
          <w:pgMar w:top="1440" w:right="1242" w:bottom="1440" w:left="1242" w:header="0" w:footer="850" w:gutter="0"/>
          <w:cols w:space="0" w:num="1"/>
          <w:rtlGutter w:val="0"/>
          <w:docGrid w:linePitch="0" w:charSpace="0"/>
        </w:sectPr>
      </w:pPr>
      <w:r>
        <w:rPr>
          <w:rFonts w:hint="eastAsia" w:ascii="Times New Roman" w:hAnsi="Times New Roman" w:eastAsia="仿宋_GB2312" w:cs="Times New Roman"/>
          <w:spacing w:val="7"/>
          <w:sz w:val="32"/>
          <w:szCs w:val="32"/>
        </w:rPr>
        <w:t>十四、项目绩效目标情况说明</w:t>
      </w:r>
    </w:p>
    <w:p w14:paraId="3EB95058">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ascii="黑体" w:hAnsi="黑体" w:eastAsia="黑体" w:cs="黑体"/>
          <w:b w:val="0"/>
          <w:bCs w:val="0"/>
          <w:spacing w:val="0"/>
          <w:position w:val="0"/>
          <w:sz w:val="32"/>
          <w:szCs w:val="32"/>
        </w:rPr>
        <w:t xml:space="preserve">第三部分 名词解释 </w:t>
      </w:r>
    </w:p>
    <w:p w14:paraId="23D4C268">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第四部分 预算公开联系方式及信息反馈渠道 </w:t>
      </w:r>
    </w:p>
    <w:p w14:paraId="11D5F5C5">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第五部分 </w:t>
      </w:r>
      <w:r>
        <w:rPr>
          <w:rFonts w:hint="eastAsia" w:ascii="黑体" w:hAnsi="黑体" w:eastAsia="黑体" w:cs="黑体"/>
          <w:b w:val="0"/>
          <w:bCs w:val="0"/>
          <w:spacing w:val="0"/>
          <w:position w:val="0"/>
          <w:sz w:val="32"/>
          <w:szCs w:val="32"/>
          <w:lang w:eastAsia="zh-CN"/>
        </w:rPr>
        <w:t>2026</w:t>
      </w:r>
      <w:r>
        <w:rPr>
          <w:rFonts w:hint="eastAsia" w:ascii="黑体" w:hAnsi="黑体" w:eastAsia="黑体" w:cs="黑体"/>
          <w:b w:val="0"/>
          <w:bCs w:val="0"/>
          <w:spacing w:val="0"/>
          <w:position w:val="0"/>
          <w:sz w:val="32"/>
          <w:szCs w:val="32"/>
        </w:rPr>
        <w:t>年度单位预算表</w:t>
      </w:r>
    </w:p>
    <w:p w14:paraId="69596BD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一、收支总表</w:t>
      </w:r>
    </w:p>
    <w:p w14:paraId="46B6628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二、收入总表</w:t>
      </w:r>
    </w:p>
    <w:p w14:paraId="654DE4D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三、支出总表</w:t>
      </w:r>
    </w:p>
    <w:p w14:paraId="5CBD64D5">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四、财政拨款收支总表</w:t>
      </w:r>
    </w:p>
    <w:p w14:paraId="716EED3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五、一般公共预算支出表</w:t>
      </w:r>
    </w:p>
    <w:p w14:paraId="04A00B1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六、一般公共预算基本支出表</w:t>
      </w:r>
    </w:p>
    <w:p w14:paraId="4EFF5A7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七、一般公共预算“三公”经费支出表</w:t>
      </w:r>
    </w:p>
    <w:p w14:paraId="09951BA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八、政府性基金预算支出表</w:t>
      </w:r>
    </w:p>
    <w:p w14:paraId="4E5E033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九、国有资本经营预算支出表</w:t>
      </w:r>
    </w:p>
    <w:p w14:paraId="24038CD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十、项目支出表</w:t>
      </w:r>
    </w:p>
    <w:p w14:paraId="48AFB56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十一、项目绩效目标表</w:t>
      </w:r>
    </w:p>
    <w:p w14:paraId="3CF05EAC">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仿宋_GB2312" w:hAnsi="仿宋_GB2312" w:eastAsia="仿宋_GB2312" w:cs="仿宋_GB2312"/>
          <w:w w:val="95"/>
          <w:sz w:val="32"/>
          <w:szCs w:val="32"/>
        </w:rPr>
      </w:pPr>
      <w:r>
        <w:rPr>
          <w:rFonts w:hint="eastAsia" w:ascii="Times New Roman" w:hAnsi="Times New Roman" w:eastAsia="仿宋_GB2312" w:cs="Times New Roman"/>
          <w:spacing w:val="7"/>
          <w:sz w:val="32"/>
          <w:szCs w:val="32"/>
        </w:rPr>
        <w:t>十二、政府采购预算表</w:t>
      </w:r>
    </w:p>
    <w:p w14:paraId="3ECA8334">
      <w:pPr>
        <w:spacing w:before="231" w:line="222" w:lineRule="auto"/>
        <w:rPr>
          <w:rFonts w:hint="eastAsia" w:ascii="仿宋" w:hAnsi="仿宋" w:eastAsia="仿宋" w:cs="仿宋"/>
          <w:spacing w:val="5"/>
          <w:sz w:val="31"/>
          <w:szCs w:val="31"/>
        </w:rPr>
      </w:pPr>
    </w:p>
    <w:p w14:paraId="33632740">
      <w:pPr>
        <w:spacing w:before="231" w:line="222" w:lineRule="auto"/>
        <w:rPr>
          <w:rFonts w:hint="eastAsia" w:ascii="仿宋" w:hAnsi="仿宋" w:eastAsia="仿宋" w:cs="仿宋"/>
          <w:sz w:val="31"/>
          <w:szCs w:val="31"/>
        </w:rPr>
      </w:pPr>
    </w:p>
    <w:p w14:paraId="104689E7">
      <w:pPr>
        <w:spacing w:line="222" w:lineRule="auto"/>
        <w:rPr>
          <w:rFonts w:hint="eastAsia" w:ascii="仿宋" w:hAnsi="仿宋" w:eastAsia="仿宋" w:cs="仿宋"/>
          <w:sz w:val="31"/>
          <w:szCs w:val="31"/>
        </w:rPr>
        <w:sectPr>
          <w:footerReference r:id="rId5" w:type="default"/>
          <w:pgSz w:w="11911" w:h="16838"/>
          <w:pgMar w:top="1440" w:right="1242" w:bottom="1440" w:left="1242" w:header="0" w:footer="850" w:gutter="0"/>
          <w:cols w:space="0" w:num="1"/>
          <w:rtlGutter w:val="0"/>
          <w:docGrid w:linePitch="0" w:charSpace="0"/>
        </w:sectPr>
      </w:pPr>
    </w:p>
    <w:p w14:paraId="4DCDE234">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第一部分  单位概况</w:t>
      </w:r>
    </w:p>
    <w:p w14:paraId="4EA0D1D5">
      <w:pPr>
        <w:pStyle w:val="2"/>
        <w:ind w:left="0" w:leftChars="0" w:firstLine="0"/>
        <w:rPr>
          <w:rFonts w:hint="eastAsia" w:ascii="仿宋_GB2312" w:hAnsi="仿宋_GB2312" w:eastAsia="仿宋_GB2312" w:cs="仿宋_GB2312"/>
          <w:sz w:val="24"/>
          <w:szCs w:val="24"/>
        </w:rPr>
      </w:pPr>
    </w:p>
    <w:p w14:paraId="43F81B47">
      <w:pPr>
        <w:numPr>
          <w:ilvl w:val="0"/>
          <w:numId w:val="1"/>
        </w:numPr>
        <w:spacing w:after="156" w:afterLines="50" w:line="600" w:lineRule="exact"/>
        <w:ind w:left="6" w:leftChars="0" w:firstLine="624" w:firstLineChars="0"/>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483F76EE">
      <w:pPr>
        <w:spacing w:line="600" w:lineRule="exact"/>
        <w:ind w:firstLine="640" w:firstLineChars="200"/>
        <w:rPr>
          <w:rFonts w:hint="eastAsia" w:ascii="楷体" w:hAnsi="楷体" w:eastAsia="楷体" w:cs="楷体"/>
          <w:sz w:val="32"/>
          <w:szCs w:val="32"/>
          <w:lang w:val="en-US" w:eastAsia="zh-CN"/>
        </w:rPr>
      </w:pPr>
      <w:bookmarkStart w:id="2" w:name="PO_part1Responsibilities"/>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单位职能</w:t>
      </w:r>
    </w:p>
    <w:p w14:paraId="73CC7DD7">
      <w:pPr>
        <w:keepNext w:val="0"/>
        <w:keepLines w:val="0"/>
        <w:pageBreakBefore w:val="0"/>
        <w:kinsoku/>
        <w:wordWrap/>
        <w:overflowPunct/>
        <w:topLinePunct w:val="0"/>
        <w:bidi w:val="0"/>
        <w:snapToGrid/>
        <w:spacing w:line="560" w:lineRule="exact"/>
        <w:ind w:firstLine="640" w:firstLineChars="200"/>
        <w:textAlignment w:val="auto"/>
        <w:rPr>
          <w:rFonts w:hint="eastAsia" w:ascii="楷体" w:hAnsi="楷体" w:eastAsia="楷体" w:cs="楷体"/>
          <w:sz w:val="32"/>
          <w:szCs w:val="32"/>
          <w:lang w:eastAsia="zh-CN"/>
        </w:rPr>
      </w:pPr>
      <w:r>
        <w:rPr>
          <w:rFonts w:hint="eastAsia" w:ascii="仿宋_GB2312" w:hAnsi="宋体" w:eastAsia="仿宋_GB2312" w:cs="宋体"/>
          <w:kern w:val="0"/>
          <w:sz w:val="32"/>
          <w:szCs w:val="32"/>
        </w:rPr>
        <w:t>根据中共内蒙古自治区委员会机构编制委员会印发的《关于自治区市场监督管理局所属事业单位机构职能的批复》（内机编办发〔2020〕148号），设立内蒙古自治区特种设备检验研究院，为自治区市场监督管理局所属相当于正处级公益二类事业单位。</w:t>
      </w:r>
    </w:p>
    <w:p w14:paraId="2F3EAC02">
      <w:pPr>
        <w:spacing w:line="60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二）单位职责</w:t>
      </w:r>
    </w:p>
    <w:bookmarkEnd w:id="2"/>
    <w:p w14:paraId="007B2590">
      <w:pPr>
        <w:pStyle w:val="9"/>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1.开展特种设备（含进口）监督检验、定期检验、仲裁检验、司法鉴定、型式试验、锅炉水 （介）质检验、无损检测、能效测试、材料分析、环保检测、安全阀校验及其他</w:t>
      </w:r>
      <w:r>
        <w:rPr>
          <w:rFonts w:hint="eastAsia" w:ascii="仿宋_GB2312" w:hAnsi="仿宋_GB2312" w:eastAsia="仿宋_GB2312" w:cs="仿宋_GB2312"/>
          <w:sz w:val="32"/>
          <w:szCs w:val="32"/>
          <w:lang w:val="en-US" w:eastAsia="zh-CN"/>
        </w:rPr>
        <w:t>阀</w:t>
      </w:r>
      <w:r>
        <w:rPr>
          <w:rFonts w:hint="eastAsia" w:ascii="仿宋_GB2312" w:hAnsi="仿宋_GB2312" w:eastAsia="仿宋_GB2312" w:cs="仿宋_GB2312"/>
          <w:sz w:val="32"/>
          <w:szCs w:val="32"/>
        </w:rPr>
        <w:t>门检验。</w:t>
      </w:r>
    </w:p>
    <w:p w14:paraId="4A990FEA">
      <w:pPr>
        <w:pStyle w:val="9"/>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2.承担特种设备安全附件、仪表及安全保护装置的检验工作。</w:t>
      </w:r>
    </w:p>
    <w:p w14:paraId="2EB1CA4F">
      <w:pPr>
        <w:pStyle w:val="9"/>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3.开展长输管道、公用管道、厂（场）内机动车辆、大型游乐设施等野外在用特种设备检验检测工作。</w:t>
      </w:r>
    </w:p>
    <w:p w14:paraId="0FFE3A70">
      <w:pPr>
        <w:pStyle w:val="9"/>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4.承担安全生产、职业卫生、烟花爆竹、劳动防护用品等检测与评价工作。</w:t>
      </w:r>
    </w:p>
    <w:p w14:paraId="200579A6">
      <w:pPr>
        <w:pStyle w:val="9"/>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5.承担安全生产、特种设备及相关领域从业人员的法规宣传、技能培训，协助做好从业人员相关考核工作。</w:t>
      </w:r>
    </w:p>
    <w:p w14:paraId="4F05A452">
      <w:pPr>
        <w:pStyle w:val="9"/>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6.承担特种设备相关科学研究、成果转化和推广应用工作。</w:t>
      </w:r>
    </w:p>
    <w:p w14:paraId="64F24140">
      <w:pPr>
        <w:pStyle w:val="9"/>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7.按取得资质开展相关业</w:t>
      </w:r>
      <w:r>
        <w:rPr>
          <w:rFonts w:hint="eastAsia" w:ascii="仿宋_GB2312" w:hAnsi="仿宋_GB2312" w:eastAsia="仿宋_GB2312" w:cs="仿宋_GB2312"/>
          <w:sz w:val="32"/>
          <w:szCs w:val="32"/>
          <w:lang w:val="en-US" w:eastAsia="zh-CN"/>
        </w:rPr>
        <w:t>务</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他委托性检验检测、技术服务工作。</w:t>
      </w:r>
    </w:p>
    <w:p w14:paraId="7F865EDF">
      <w:pPr>
        <w:pStyle w:val="9"/>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8.承担自治区市场监督管理局交办的其他相关工作</w:t>
      </w:r>
      <w:r>
        <w:rPr>
          <w:rFonts w:hint="eastAsia" w:ascii="仿宋_GB2312" w:hAnsi="仿宋_GB2312" w:eastAsia="仿宋_GB2312" w:cs="仿宋_GB2312"/>
          <w:sz w:val="32"/>
          <w:szCs w:val="32"/>
          <w:lang w:eastAsia="zh-CN"/>
        </w:rPr>
        <w:t>。</w:t>
      </w:r>
    </w:p>
    <w:p w14:paraId="1396C8A3">
      <w:pPr>
        <w:pStyle w:val="9"/>
        <w:keepNext w:val="0"/>
        <w:keepLines w:val="0"/>
        <w:pageBreakBefore w:val="0"/>
        <w:kinsoku/>
        <w:wordWrap/>
        <w:overflowPunct/>
        <w:topLinePunct w:val="0"/>
        <w:bidi w:val="0"/>
        <w:snapToGrid/>
        <w:spacing w:before="0" w:after="0" w:line="560" w:lineRule="exact"/>
        <w:ind w:right="0" w:firstLine="640" w:firstLineChars="200"/>
        <w:jc w:val="both"/>
        <w:textAlignment w:val="auto"/>
        <w:rPr>
          <w:rFonts w:hint="eastAsia" w:ascii="仿宋_GB2312" w:hAnsi="仿宋_GB2312" w:eastAsia="仿宋_GB2312" w:cs="仿宋_GB2312"/>
          <w:sz w:val="32"/>
          <w:szCs w:val="32"/>
          <w:lang w:eastAsia="zh-CN"/>
        </w:rPr>
      </w:pPr>
    </w:p>
    <w:p w14:paraId="657DB4E5">
      <w:pPr>
        <w:numPr>
          <w:ilvl w:val="0"/>
          <w:numId w:val="1"/>
        </w:numPr>
        <w:spacing w:after="156" w:afterLines="50" w:line="600" w:lineRule="exact"/>
        <w:ind w:left="6" w:leftChars="0" w:firstLine="624" w:firstLineChars="0"/>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6AF4FBF7">
      <w:pPr>
        <w:spacing w:line="600" w:lineRule="exact"/>
        <w:ind w:firstLine="640" w:firstLineChars="200"/>
        <w:rPr>
          <w:rFonts w:ascii="Times New Roman" w:hAnsi="Times New Roman" w:eastAsia="仿宋_GB2312"/>
          <w:sz w:val="11"/>
          <w:szCs w:val="11"/>
        </w:rPr>
      </w:pPr>
      <w:r>
        <w:rPr>
          <w:rFonts w:hint="eastAsia" w:ascii="Times New Roman" w:hAnsi="Times New Roman" w:eastAsia="仿宋_GB2312"/>
          <w:sz w:val="32"/>
          <w:szCs w:val="32"/>
        </w:rPr>
        <w:t>1．</w:t>
      </w:r>
      <w:bookmarkStart w:id="3" w:name="PO_part1Responsibilities1"/>
      <w:r>
        <w:rPr>
          <w:rFonts w:hint="eastAsia" w:ascii="Times New Roman" w:hAnsi="Times New Roman" w:eastAsia="仿宋_GB2312"/>
          <w:sz w:val="32"/>
          <w:szCs w:val="32"/>
        </w:rPr>
        <w:t>根据单位职责分工，本</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内设机构包括</w:t>
      </w:r>
      <w:r>
        <w:rPr>
          <w:rFonts w:hint="eastAsia" w:ascii="Times New Roman" w:hAnsi="Times New Roman" w:eastAsia="仿宋_GB2312"/>
          <w:sz w:val="32"/>
          <w:szCs w:val="32"/>
          <w:lang w:val="en-US" w:eastAsia="zh-CN"/>
        </w:rPr>
        <w:t>业务管理部、机电部、锅炉检验部、容器管道检验部、罐车与阀门检验部、在线检验部、气瓶检验部、职业卫生与安全生产检测中心、教育培训考试中心、节能与绿色评价中心等</w:t>
      </w:r>
      <w:r>
        <w:rPr>
          <w:rFonts w:hint="eastAsia" w:ascii="Times New Roman" w:hAnsi="Times New Roman" w:eastAsia="仿宋_GB2312"/>
          <w:sz w:val="32"/>
          <w:szCs w:val="32"/>
        </w:rPr>
        <w:t xml:space="preserve">。本单位无下属单位。 </w:t>
      </w:r>
      <w:r>
        <w:rPr>
          <w:rFonts w:hint="eastAsia" w:ascii="Times New Roman" w:hAnsi="Times New Roman" w:eastAsia="仿宋_GB2312"/>
          <w:sz w:val="11"/>
          <w:szCs w:val="11"/>
        </w:rPr>
        <w:t xml:space="preserve"> </w:t>
      </w:r>
    </w:p>
    <w:p w14:paraId="2553B29A">
      <w:pPr>
        <w:spacing w:line="600" w:lineRule="exact"/>
        <w:ind w:firstLine="640" w:firstLineChars="200"/>
        <w:rPr>
          <w:rFonts w:ascii="Times New Roman" w:hAnsi="Times New Roman" w:eastAsia="仿宋_GB2312"/>
          <w:sz w:val="11"/>
          <w:szCs w:val="11"/>
        </w:rPr>
      </w:pPr>
      <w:r>
        <w:rPr>
          <w:rFonts w:hint="eastAsia" w:ascii="Times New Roman" w:hAnsi="Times New Roman" w:eastAsia="仿宋_GB2312"/>
          <w:sz w:val="32"/>
          <w:szCs w:val="32"/>
        </w:rPr>
        <w:t xml:space="preserve"> </w:t>
      </w:r>
      <w:r>
        <w:rPr>
          <w:rFonts w:hint="eastAsia" w:ascii="Times New Roman" w:hAnsi="Times New Roman" w:eastAsia="仿宋_GB2312"/>
          <w:sz w:val="11"/>
          <w:szCs w:val="11"/>
        </w:rPr>
        <w:t xml:space="preserve"> </w:t>
      </w:r>
      <w:bookmarkEnd w:id="3"/>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bookmarkStart w:id="4" w:name="PO_part1Responsibilities2"/>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4"/>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汇总预算编制范围的预算单位共计</w:t>
      </w:r>
      <w:bookmarkStart w:id="5" w:name="PO_part1Responsibilities3"/>
      <w:r>
        <w:rPr>
          <w:rFonts w:hint="eastAsia" w:ascii="Times New Roman" w:hAnsi="Times New Roman" w:eastAsia="仿宋_GB2312"/>
          <w:sz w:val="32"/>
          <w:szCs w:val="32"/>
          <w:lang w:val="en-US" w:eastAsia="zh-CN"/>
        </w:rPr>
        <w:t>1</w:t>
      </w:r>
      <w:r>
        <w:rPr>
          <w:rFonts w:hint="eastAsia" w:ascii="Times New Roman" w:hAnsi="Times New Roman" w:eastAsia="仿宋_GB2312"/>
          <w:sz w:val="11"/>
          <w:szCs w:val="11"/>
        </w:rPr>
        <w:t xml:space="preserve"> </w:t>
      </w:r>
      <w:bookmarkEnd w:id="5"/>
      <w:r>
        <w:rPr>
          <w:rFonts w:hint="eastAsia" w:ascii="Times New Roman" w:hAnsi="Times New Roman" w:eastAsia="仿宋_GB2312"/>
          <w:sz w:val="32"/>
          <w:szCs w:val="32"/>
        </w:rPr>
        <w:t>家，具体包括：</w:t>
      </w:r>
      <w:bookmarkStart w:id="6" w:name="PO_part1Responsibilities4"/>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lang w:val="en-US" w:eastAsia="zh-CN"/>
        </w:rPr>
        <w:t xml:space="preserve"> </w:t>
      </w:r>
      <w:bookmarkEnd w:id="6"/>
      <w:r>
        <w:rPr>
          <w:rFonts w:hint="eastAsia" w:ascii="Times New Roman" w:hAnsi="Times New Roman" w:eastAsia="仿宋_GB2312"/>
          <w:sz w:val="32"/>
          <w:szCs w:val="32"/>
        </w:rPr>
        <w:t>。详细情况见</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 xml:space="preserve">表： </w:t>
      </w:r>
    </w:p>
    <w:p w14:paraId="73E2234B">
      <w:pPr>
        <w:pStyle w:val="2"/>
        <w:spacing w:line="600" w:lineRule="exact"/>
        <w:ind w:left="0" w:leftChars="0" w:firstLine="0"/>
        <w:jc w:val="center"/>
        <w:rPr>
          <w:rFonts w:eastAsia="仿宋_GB2312"/>
        </w:rPr>
      </w:pPr>
      <w:r>
        <w:rPr>
          <w:rFonts w:ascii="Times New Roman" w:hAnsi="Times New Roman" w:eastAsia="仿宋_GB2312"/>
          <w:b/>
          <w:bCs/>
          <w:sz w:val="32"/>
          <w:szCs w:val="32"/>
        </w:rPr>
        <w:t>单位情况表</w:t>
      </w:r>
    </w:p>
    <w:p w14:paraId="534977E3">
      <w:pPr>
        <w:spacing w:line="22" w:lineRule="exact"/>
      </w:pPr>
    </w:p>
    <w:tbl>
      <w:tblPr>
        <w:tblStyle w:val="14"/>
        <w:tblW w:w="9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4736"/>
        <w:gridCol w:w="3666"/>
      </w:tblGrid>
      <w:tr w14:paraId="2B43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722" w:type="dxa"/>
          </w:tcPr>
          <w:p w14:paraId="760804DA">
            <w:pPr>
              <w:spacing w:before="174" w:line="214" w:lineRule="auto"/>
              <w:ind w:left="51"/>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4"/>
                <w:sz w:val="30"/>
                <w:szCs w:val="30"/>
              </w:rPr>
              <w:t>序</w:t>
            </w:r>
            <w:r>
              <w:rPr>
                <w:rFonts w:hint="eastAsia" w:ascii="仿宋_GB2312" w:hAnsi="仿宋_GB2312" w:eastAsia="仿宋_GB2312" w:cs="仿宋_GB2312"/>
                <w:spacing w:val="4"/>
                <w:sz w:val="30"/>
                <w:szCs w:val="30"/>
                <w:lang w:val="en-US" w:eastAsia="zh-CN"/>
              </w:rPr>
              <w:t>号</w:t>
            </w:r>
          </w:p>
        </w:tc>
        <w:tc>
          <w:tcPr>
            <w:tcW w:w="4736" w:type="dxa"/>
          </w:tcPr>
          <w:p w14:paraId="3A11C7F5">
            <w:pPr>
              <w:spacing w:before="250" w:line="222" w:lineRule="auto"/>
              <w:ind w:left="1024"/>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单位名称</w:t>
            </w:r>
          </w:p>
        </w:tc>
        <w:tc>
          <w:tcPr>
            <w:tcW w:w="3666" w:type="dxa"/>
          </w:tcPr>
          <w:p w14:paraId="40B43A12">
            <w:pPr>
              <w:spacing w:before="251" w:line="221" w:lineRule="auto"/>
              <w:ind w:left="169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单位性质</w:t>
            </w:r>
          </w:p>
        </w:tc>
      </w:tr>
      <w:tr w14:paraId="24A02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2" w:type="dxa"/>
            <w:vAlign w:val="center"/>
          </w:tcPr>
          <w:p w14:paraId="49D4D8A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eastAsia="宋体" w:cs="Times New Roman"/>
                <w:sz w:val="32"/>
                <w:szCs w:val="32"/>
              </w:rPr>
            </w:pPr>
            <w:bookmarkStart w:id="7" w:name="PO_part1A2B2Table1"/>
            <w:r>
              <w:rPr>
                <w:rFonts w:hint="eastAsia" w:ascii="Times New Roman" w:hAnsi="Times New Roman" w:eastAsia="宋体" w:cs="Times New Roman"/>
                <w:sz w:val="32"/>
                <w:szCs w:val="32"/>
              </w:rPr>
              <w:t>1</w:t>
            </w:r>
          </w:p>
        </w:tc>
        <w:tc>
          <w:tcPr>
            <w:tcW w:w="4736" w:type="dxa"/>
            <w:vAlign w:val="center"/>
          </w:tcPr>
          <w:p w14:paraId="64FFC454">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仿宋" w:hAnsi="仿宋" w:eastAsia="仿宋" w:cs="仿宋"/>
                <w:spacing w:val="-1"/>
                <w:sz w:val="32"/>
                <w:szCs w:val="32"/>
              </w:rPr>
            </w:pPr>
            <w:r>
              <w:rPr>
                <w:rFonts w:hint="eastAsia" w:ascii="Times New Roman" w:hAnsi="Times New Roman" w:eastAsia="仿宋_GB2312"/>
                <w:sz w:val="32"/>
                <w:szCs w:val="32"/>
                <w:lang w:val="en-US" w:eastAsia="zh-CN"/>
              </w:rPr>
              <w:t>内蒙古自治区特种设备检验研究院本级</w:t>
            </w:r>
          </w:p>
        </w:tc>
        <w:tc>
          <w:tcPr>
            <w:tcW w:w="3666" w:type="dxa"/>
            <w:vAlign w:val="center"/>
          </w:tcPr>
          <w:p w14:paraId="24041CDB">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仿宋" w:hAnsi="仿宋" w:eastAsia="仿宋" w:cs="仿宋"/>
                <w:spacing w:val="8"/>
                <w:sz w:val="32"/>
                <w:szCs w:val="32"/>
              </w:rPr>
            </w:pPr>
            <w:r>
              <w:rPr>
                <w:rFonts w:hint="eastAsia" w:ascii="Times New Roman" w:hAnsi="Times New Roman" w:eastAsia="仿宋_GB2312"/>
                <w:sz w:val="32"/>
                <w:szCs w:val="32"/>
                <w:lang w:val="en-US" w:eastAsia="zh-CN"/>
              </w:rPr>
              <w:t>公益二类事业单位</w:t>
            </w:r>
          </w:p>
        </w:tc>
      </w:tr>
      <w:bookmarkEnd w:id="7"/>
    </w:tbl>
    <w:p w14:paraId="1AC6FF7A">
      <w:pPr>
        <w:spacing w:before="156" w:beforeLines="50" w:after="156" w:afterLines="50" w:line="600" w:lineRule="exact"/>
        <w:ind w:firstLine="640" w:firstLineChars="200"/>
        <w:outlineLvl w:val="2"/>
        <w:rPr>
          <w:rFonts w:ascii="Times New Roman" w:hAnsi="Times New Roman" w:eastAsia="黑体" w:cs="黑体"/>
          <w:sz w:val="32"/>
          <w:szCs w:val="36"/>
        </w:rPr>
      </w:pPr>
      <w:r>
        <w:rPr>
          <w:rFonts w:hint="eastAsia" w:ascii="Times New Roman" w:hAnsi="Times New Roman" w:eastAsia="黑体" w:cs="黑体"/>
          <w:sz w:val="32"/>
          <w:szCs w:val="36"/>
        </w:rPr>
        <w:t>三、</w:t>
      </w:r>
      <w:r>
        <w:rPr>
          <w:rFonts w:hint="eastAsia" w:ascii="Times New Roman" w:hAnsi="Times New Roman" w:eastAsia="黑体" w:cs="黑体"/>
          <w:sz w:val="32"/>
          <w:szCs w:val="36"/>
          <w:lang w:eastAsia="zh-CN"/>
        </w:rPr>
        <w:t>2026</w:t>
      </w:r>
      <w:r>
        <w:rPr>
          <w:rFonts w:hint="eastAsia" w:ascii="Times New Roman" w:hAnsi="Times New Roman" w:eastAsia="黑体" w:cs="黑体"/>
          <w:sz w:val="32"/>
          <w:szCs w:val="36"/>
        </w:rPr>
        <w:t>年度单位主要工作任务及目标</w:t>
      </w:r>
    </w:p>
    <w:p w14:paraId="70400642">
      <w:pPr>
        <w:spacing w:line="600" w:lineRule="exact"/>
        <w:ind w:firstLine="640"/>
        <w:jc w:val="left"/>
        <w:outlineLvl w:val="1"/>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年，是“十</w:t>
      </w:r>
      <w:r>
        <w:rPr>
          <w:rFonts w:hint="eastAsia" w:ascii="Times New Roman" w:hAnsi="Times New Roman" w:eastAsia="仿宋_GB2312"/>
          <w:sz w:val="32"/>
          <w:szCs w:val="32"/>
          <w:lang w:val="en-US" w:eastAsia="zh-CN"/>
        </w:rPr>
        <w:t>五</w:t>
      </w:r>
      <w:r>
        <w:rPr>
          <w:rFonts w:hint="eastAsia" w:ascii="Times New Roman" w:hAnsi="Times New Roman" w:eastAsia="仿宋_GB2312"/>
          <w:sz w:val="32"/>
          <w:szCs w:val="32"/>
        </w:rPr>
        <w:t>五”的</w:t>
      </w:r>
      <w:r>
        <w:rPr>
          <w:rFonts w:hint="eastAsia" w:ascii="Times New Roman" w:hAnsi="Times New Roman" w:eastAsia="仿宋_GB2312"/>
          <w:sz w:val="32"/>
          <w:szCs w:val="32"/>
          <w:lang w:val="en-US" w:eastAsia="zh-CN"/>
        </w:rPr>
        <w:t>伊始</w:t>
      </w:r>
      <w:r>
        <w:rPr>
          <w:rFonts w:hint="eastAsia" w:ascii="Times New Roman" w:hAnsi="Times New Roman" w:eastAsia="仿宋_GB2312"/>
          <w:sz w:val="32"/>
          <w:szCs w:val="32"/>
        </w:rPr>
        <w:t>之年，特检院在自治区市场监管局的坚强领导下，紧紧围绕自治区党委政府和区局党组的中心工作，以改革创新为动力，以提升能力素质为主线，以全面提高检验检测质量为目标，实现由特检 “大院”向特检“强院”转型升级，努力将特检院建成实力雄厚、活力无限、技术领先的全国一流的综合</w:t>
      </w:r>
      <w:r>
        <w:rPr>
          <w:rFonts w:hint="eastAsia" w:ascii="Times New Roman" w:hAnsi="Times New Roman" w:eastAsia="仿宋_GB2312"/>
          <w:sz w:val="32"/>
          <w:szCs w:val="32"/>
          <w:lang w:val="en-US" w:eastAsia="zh-CN"/>
        </w:rPr>
        <w:t>性</w:t>
      </w:r>
      <w:r>
        <w:rPr>
          <w:rFonts w:hint="eastAsia" w:ascii="Times New Roman" w:hAnsi="Times New Roman" w:eastAsia="仿宋_GB2312"/>
          <w:sz w:val="32"/>
          <w:szCs w:val="32"/>
        </w:rPr>
        <w:t>检验检测机构</w:t>
      </w:r>
      <w:r>
        <w:rPr>
          <w:rFonts w:hint="eastAsia" w:ascii="Times New Roman" w:hAnsi="Times New Roman" w:eastAsia="仿宋_GB2312"/>
          <w:sz w:val="32"/>
          <w:szCs w:val="32"/>
          <w:lang w:eastAsia="zh-CN"/>
        </w:rPr>
        <w:t>。</w:t>
      </w:r>
    </w:p>
    <w:p w14:paraId="28832486">
      <w:pPr>
        <w:spacing w:line="600" w:lineRule="exact"/>
        <w:ind w:firstLine="640"/>
        <w:jc w:val="center"/>
        <w:outlineLvl w:val="1"/>
        <w:rPr>
          <w:rFonts w:hint="eastAsia" w:ascii="黑体" w:hAnsi="黑体" w:eastAsia="黑体" w:cs="黑体"/>
          <w:sz w:val="36"/>
          <w:szCs w:val="36"/>
        </w:rPr>
      </w:pPr>
    </w:p>
    <w:p w14:paraId="2150510A">
      <w:pPr>
        <w:spacing w:line="600" w:lineRule="exact"/>
        <w:ind w:firstLine="640"/>
        <w:jc w:val="center"/>
        <w:outlineLvl w:val="1"/>
        <w:rPr>
          <w:rFonts w:hint="eastAsia" w:ascii="黑体" w:hAnsi="黑体" w:eastAsia="黑体" w:cs="黑体"/>
          <w:sz w:val="36"/>
          <w:szCs w:val="36"/>
        </w:rPr>
      </w:pPr>
    </w:p>
    <w:p w14:paraId="261B1FD7">
      <w:pPr>
        <w:spacing w:line="600" w:lineRule="exact"/>
        <w:ind w:firstLine="640"/>
        <w:jc w:val="center"/>
        <w:outlineLvl w:val="1"/>
        <w:rPr>
          <w:rFonts w:hint="eastAsia" w:ascii="黑体" w:hAnsi="黑体" w:eastAsia="黑体" w:cs="黑体"/>
          <w:sz w:val="36"/>
          <w:szCs w:val="36"/>
        </w:rPr>
      </w:pPr>
    </w:p>
    <w:p w14:paraId="174F02C6">
      <w:pPr>
        <w:spacing w:line="600" w:lineRule="exact"/>
        <w:ind w:firstLine="640"/>
        <w:jc w:val="center"/>
        <w:outlineLvl w:val="1"/>
        <w:rPr>
          <w:rFonts w:hint="eastAsia" w:ascii="黑体" w:hAnsi="黑体" w:eastAsia="黑体" w:cs="黑体"/>
          <w:sz w:val="36"/>
          <w:szCs w:val="36"/>
        </w:rPr>
      </w:pPr>
    </w:p>
    <w:p w14:paraId="279F5D38">
      <w:pPr>
        <w:spacing w:line="600" w:lineRule="exact"/>
        <w:ind w:firstLine="640"/>
        <w:jc w:val="center"/>
        <w:outlineLvl w:val="1"/>
        <w:rPr>
          <w:rFonts w:hint="eastAsia" w:ascii="黑体" w:hAnsi="黑体" w:eastAsia="黑体" w:cs="黑体"/>
          <w:sz w:val="36"/>
          <w:szCs w:val="36"/>
        </w:rPr>
      </w:pPr>
      <w:r>
        <w:rPr>
          <w:rFonts w:hint="eastAsia" w:ascii="黑体" w:hAnsi="黑体" w:eastAsia="黑体" w:cs="黑体"/>
          <w:sz w:val="36"/>
          <w:szCs w:val="36"/>
        </w:rPr>
        <w:t xml:space="preserve">第二部分  </w:t>
      </w:r>
      <w:r>
        <w:rPr>
          <w:rFonts w:hint="eastAsia" w:ascii="黑体" w:hAnsi="黑体" w:eastAsia="黑体" w:cs="黑体"/>
          <w:sz w:val="36"/>
          <w:szCs w:val="36"/>
          <w:lang w:eastAsia="zh-CN"/>
        </w:rPr>
        <w:t>2026</w:t>
      </w:r>
      <w:r>
        <w:rPr>
          <w:rFonts w:hint="eastAsia" w:ascii="黑体" w:hAnsi="黑体" w:eastAsia="黑体" w:cs="黑体"/>
          <w:sz w:val="36"/>
          <w:szCs w:val="36"/>
        </w:rPr>
        <w:t>年度部门预算情况说明</w:t>
      </w:r>
    </w:p>
    <w:p w14:paraId="4D82DAF2">
      <w:pPr>
        <w:pStyle w:val="6"/>
        <w:spacing w:line="327" w:lineRule="auto"/>
        <w:rPr>
          <w:rFonts w:hint="eastAsia" w:ascii="仿宋_GB2312" w:hAnsi="仿宋_GB2312" w:eastAsia="仿宋_GB2312" w:cs="仿宋_GB2312"/>
        </w:rPr>
      </w:pPr>
    </w:p>
    <w:p w14:paraId="7C571CFD">
      <w:pPr>
        <w:spacing w:line="600" w:lineRule="exact"/>
        <w:ind w:firstLine="640" w:firstLineChars="200"/>
        <w:outlineLvl w:val="2"/>
      </w:pPr>
      <w:r>
        <w:rPr>
          <w:rFonts w:hint="eastAsia" w:eastAsia="黑体" w:cs="黑体"/>
          <w:sz w:val="32"/>
          <w:szCs w:val="36"/>
        </w:rPr>
        <w:t>一、收支预算总体情况说明</w:t>
      </w:r>
    </w:p>
    <w:p w14:paraId="62191B4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1"/>
          <w:szCs w:val="31"/>
        </w:rPr>
      </w:pPr>
      <w:bookmarkStart w:id="8" w:name="PO_part2AAmount"/>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8"/>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年度收入、支出预算总计</w:t>
      </w:r>
      <w:bookmarkStart w:id="9" w:name="PO_part2AAmount1"/>
      <w:r>
        <w:rPr>
          <w:rFonts w:hint="eastAsia" w:ascii="Times New Roman" w:hAnsi="Times New Roman" w:eastAsia="仿宋_GB2312"/>
          <w:sz w:val="32"/>
          <w:szCs w:val="32"/>
        </w:rPr>
        <w:t>23945.59</w:t>
      </w:r>
      <w:r>
        <w:rPr>
          <w:rFonts w:hint="eastAsia" w:ascii="Times New Roman" w:hAnsi="Times New Roman" w:eastAsia="仿宋_GB2312"/>
          <w:sz w:val="11"/>
          <w:szCs w:val="11"/>
        </w:rPr>
        <w:t xml:space="preserve"> </w:t>
      </w:r>
      <w:bookmarkEnd w:id="9"/>
      <w:r>
        <w:rPr>
          <w:rFonts w:hint="eastAsia" w:ascii="Times New Roman" w:hAnsi="Times New Roman" w:eastAsia="仿宋_GB2312"/>
          <w:sz w:val="32"/>
          <w:szCs w:val="32"/>
        </w:rPr>
        <w:t>万元，与上年相比收、支预算总计各</w:t>
      </w:r>
      <w:bookmarkStart w:id="10" w:name="PO_part2AIncReason1"/>
      <w:r>
        <w:rPr>
          <w:rFonts w:hint="eastAsia" w:ascii="Times New Roman" w:hAnsi="Times New Roman" w:eastAsia="仿宋_GB2312"/>
          <w:sz w:val="32"/>
          <w:szCs w:val="32"/>
        </w:rPr>
        <w:t>增加729.02万元，增长3.14%</w:t>
      </w:r>
      <w:r>
        <w:rPr>
          <w:rFonts w:hint="eastAsia" w:ascii="Times New Roman" w:hAnsi="Times New Roman" w:eastAsia="仿宋_GB2312"/>
          <w:sz w:val="18"/>
          <w:szCs w:val="18"/>
        </w:rPr>
        <w:t xml:space="preserve"> </w:t>
      </w:r>
      <w:bookmarkEnd w:id="10"/>
      <w:r>
        <w:rPr>
          <w:rFonts w:hint="eastAsia" w:ascii="Times New Roman" w:hAnsi="Times New Roman" w:eastAsia="仿宋_GB2312"/>
          <w:sz w:val="32"/>
          <w:szCs w:val="32"/>
        </w:rPr>
        <w:t>。其中：</w:t>
      </w:r>
    </w:p>
    <w:p w14:paraId="2930039E">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（一）收入预算总计</w:t>
      </w:r>
      <w:bookmarkStart w:id="11" w:name="PO_part2ABAmount1"/>
      <w:r>
        <w:rPr>
          <w:rFonts w:hint="eastAsia" w:ascii="Times New Roman" w:hAnsi="Times New Roman" w:eastAsia="仿宋_GB2312"/>
          <w:b/>
          <w:bCs/>
          <w:sz w:val="32"/>
          <w:szCs w:val="32"/>
        </w:rPr>
        <w:t>23945.59</w:t>
      </w:r>
      <w:r>
        <w:rPr>
          <w:rFonts w:hint="eastAsia" w:ascii="楷体" w:hAnsi="楷体" w:eastAsia="楷体" w:cs="楷体"/>
          <w:b/>
          <w:bCs/>
          <w:sz w:val="11"/>
          <w:szCs w:val="13"/>
        </w:rPr>
        <w:t xml:space="preserve"> </w:t>
      </w:r>
      <w:bookmarkEnd w:id="11"/>
      <w:r>
        <w:rPr>
          <w:rFonts w:hint="eastAsia" w:ascii="楷体" w:hAnsi="楷体" w:eastAsia="楷体" w:cs="楷体"/>
          <w:b/>
          <w:bCs/>
          <w:sz w:val="32"/>
          <w:szCs w:val="36"/>
        </w:rPr>
        <w:t>万元。包括：</w:t>
      </w:r>
    </w:p>
    <w:p w14:paraId="6A89203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bookmarkStart w:id="12" w:name="PO_part2ABAmount2"/>
      <w:r>
        <w:rPr>
          <w:rFonts w:hint="eastAsia" w:ascii="Times New Roman" w:hAnsi="Times New Roman" w:eastAsia="仿宋_GB2312"/>
          <w:sz w:val="32"/>
          <w:szCs w:val="32"/>
        </w:rPr>
        <w:t>15131.13</w:t>
      </w:r>
      <w:r>
        <w:rPr>
          <w:rFonts w:hint="eastAsia" w:ascii="Times New Roman" w:hAnsi="Times New Roman" w:eastAsia="仿宋_GB2312"/>
          <w:sz w:val="11"/>
          <w:szCs w:val="11"/>
        </w:rPr>
        <w:t xml:space="preserve"> </w:t>
      </w:r>
      <w:bookmarkEnd w:id="12"/>
      <w:r>
        <w:rPr>
          <w:rFonts w:hint="eastAsia" w:ascii="Times New Roman" w:hAnsi="Times New Roman" w:eastAsia="仿宋_GB2312"/>
          <w:sz w:val="32"/>
          <w:szCs w:val="32"/>
        </w:rPr>
        <w:t>万元。</w:t>
      </w:r>
    </w:p>
    <w:p w14:paraId="2C405BD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w:t>
      </w:r>
      <w:bookmarkStart w:id="13" w:name="PO_part2ABAmount3"/>
      <w:r>
        <w:rPr>
          <w:rFonts w:hint="eastAsia" w:ascii="Times New Roman" w:hAnsi="Times New Roman" w:eastAsia="仿宋_GB2312"/>
          <w:sz w:val="32"/>
          <w:szCs w:val="32"/>
        </w:rPr>
        <w:t>7161.01</w:t>
      </w:r>
      <w:r>
        <w:rPr>
          <w:rFonts w:hint="eastAsia" w:ascii="Times New Roman" w:hAnsi="Times New Roman" w:eastAsia="仿宋_GB2312"/>
          <w:sz w:val="11"/>
          <w:szCs w:val="11"/>
        </w:rPr>
        <w:t xml:space="preserve"> </w:t>
      </w:r>
      <w:bookmarkEnd w:id="13"/>
      <w:r>
        <w:rPr>
          <w:rFonts w:hint="eastAsia" w:ascii="Times New Roman" w:hAnsi="Times New Roman" w:eastAsia="仿宋_GB2312"/>
          <w:sz w:val="32"/>
          <w:szCs w:val="32"/>
        </w:rPr>
        <w:t>万元，与上年相比</w:t>
      </w:r>
      <w:bookmarkStart w:id="14" w:name="PO_part2ABAmount4"/>
      <w:r>
        <w:rPr>
          <w:rFonts w:hint="eastAsia" w:ascii="Times New Roman" w:hAnsi="Times New Roman" w:eastAsia="仿宋_GB2312"/>
          <w:sz w:val="32"/>
          <w:szCs w:val="32"/>
        </w:rPr>
        <w:t>减少108.39万元，下降1.49%</w:t>
      </w:r>
      <w:r>
        <w:rPr>
          <w:rFonts w:hint="eastAsia" w:ascii="Times New Roman" w:hAnsi="Times New Roman" w:eastAsia="仿宋_GB2312"/>
          <w:sz w:val="11"/>
          <w:szCs w:val="11"/>
        </w:rPr>
        <w:t xml:space="preserve"> </w:t>
      </w:r>
      <w:bookmarkEnd w:id="14"/>
      <w:r>
        <w:rPr>
          <w:rFonts w:hint="eastAsia" w:ascii="Times New Roman" w:hAnsi="Times New Roman" w:eastAsia="仿宋_GB2312"/>
          <w:sz w:val="32"/>
          <w:szCs w:val="32"/>
        </w:rPr>
        <w:t>，主要原因是：202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使</w:t>
      </w:r>
      <w:r>
        <w:rPr>
          <w:rFonts w:hint="eastAsia" w:ascii="Times New Roman" w:hAnsi="Times New Roman" w:eastAsia="仿宋_GB2312"/>
          <w:sz w:val="32"/>
          <w:szCs w:val="32"/>
        </w:rPr>
        <w:t>用经营资金弥补经费</w:t>
      </w:r>
      <w:r>
        <w:rPr>
          <w:rFonts w:hint="eastAsia" w:ascii="Times New Roman" w:hAnsi="Times New Roman" w:eastAsia="仿宋_GB2312"/>
          <w:sz w:val="32"/>
          <w:szCs w:val="32"/>
          <w:lang w:val="en-US" w:eastAsia="zh-CN"/>
        </w:rPr>
        <w:t>预算增加</w:t>
      </w:r>
      <w:r>
        <w:rPr>
          <w:rFonts w:hint="eastAsia" w:ascii="Times New Roman" w:hAnsi="Times New Roman" w:eastAsia="仿宋_GB2312"/>
          <w:sz w:val="32"/>
          <w:szCs w:val="32"/>
        </w:rPr>
        <w:t>。</w:t>
      </w:r>
    </w:p>
    <w:p w14:paraId="146901B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bookmarkStart w:id="15" w:name="PO_part2ABAmount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万元，与上年相比</w:t>
      </w:r>
      <w:bookmarkStart w:id="16" w:name="PO_part2ABAmount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6"/>
      <w:r>
        <w:rPr>
          <w:rFonts w:hint="eastAsia" w:ascii="Times New Roman" w:hAnsi="Times New Roman" w:eastAsia="仿宋_GB2312"/>
          <w:sz w:val="32"/>
          <w:szCs w:val="32"/>
        </w:rPr>
        <w:t>，主要原因是：</w:t>
      </w:r>
      <w:bookmarkStart w:id="17" w:name="PO_part2AB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w:t>
      </w:r>
    </w:p>
    <w:p w14:paraId="0E7A9BC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bookmarkStart w:id="18" w:name="PO_part2AB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万元，与上年相比</w:t>
      </w:r>
      <w:bookmarkStart w:id="19" w:name="PO_part2ABAmount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，主要原因是：</w:t>
      </w:r>
      <w:bookmarkStart w:id="20" w:name="PO_part2AB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w:t>
      </w:r>
    </w:p>
    <w:p w14:paraId="460B495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bookmarkStart w:id="21" w:name="PO_part2AB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万元，与上年相比</w:t>
      </w:r>
      <w:bookmarkStart w:id="22" w:name="PO_part2ABAmount10"/>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，主要原因是：</w:t>
      </w:r>
      <w:bookmarkStart w:id="23" w:name="PO_part2ABReason4"/>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w:t>
      </w:r>
    </w:p>
    <w:p w14:paraId="5DC1238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bookmarkStart w:id="24" w:name="PO_part2AB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万元，与上年相比</w:t>
      </w:r>
      <w:bookmarkStart w:id="25" w:name="PO_part2ABAmount12"/>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，主要原因是：</w:t>
      </w:r>
      <w:bookmarkStart w:id="26" w:name="PO_part2ABReason5"/>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w:t>
      </w:r>
    </w:p>
    <w:p w14:paraId="554FE16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bookmarkStart w:id="27" w:name="PO_part2ABAmount24"/>
      <w:r>
        <w:rPr>
          <w:rFonts w:hint="eastAsia" w:ascii="Times New Roman" w:hAnsi="Times New Roman" w:eastAsia="仿宋_GB2312"/>
          <w:sz w:val="32"/>
          <w:szCs w:val="32"/>
        </w:rPr>
        <w:t>7970.12</w:t>
      </w:r>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万元，与上年相比</w:t>
      </w:r>
      <w:bookmarkStart w:id="28" w:name="PO_part2ABAmount25"/>
      <w:r>
        <w:rPr>
          <w:rFonts w:hint="eastAsia" w:ascii="Times New Roman" w:hAnsi="Times New Roman" w:eastAsia="仿宋_GB2312"/>
          <w:sz w:val="32"/>
          <w:szCs w:val="32"/>
        </w:rPr>
        <w:t>增加556.82万元，增长7.51%</w:t>
      </w:r>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，主要原因是：</w:t>
      </w:r>
      <w:bookmarkStart w:id="29" w:name="PO_part2ABReason12"/>
      <w:r>
        <w:rPr>
          <w:rFonts w:hint="eastAsia" w:ascii="Times New Roman" w:hAnsi="Times New Roman" w:eastAsia="仿宋_GB2312"/>
          <w:sz w:val="32"/>
          <w:szCs w:val="32"/>
          <w:lang w:val="en-US" w:eastAsia="zh-CN"/>
        </w:rPr>
        <w:t>业务量增加</w:t>
      </w:r>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w:t>
      </w:r>
    </w:p>
    <w:p w14:paraId="50D0E3A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bookmarkStart w:id="30" w:name="PO_part2AB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万元，与上年相比</w:t>
      </w:r>
      <w:bookmarkStart w:id="31" w:name="PO_part2ABAmount14"/>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1"/>
      <w:r>
        <w:rPr>
          <w:rFonts w:hint="eastAsia" w:ascii="Times New Roman" w:hAnsi="Times New Roman" w:eastAsia="仿宋_GB2312"/>
          <w:sz w:val="32"/>
          <w:szCs w:val="32"/>
        </w:rPr>
        <w:t>，主要原因是：</w:t>
      </w:r>
      <w:bookmarkStart w:id="32" w:name="PO_part2ABReason6"/>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2"/>
      <w:r>
        <w:rPr>
          <w:rFonts w:hint="eastAsia" w:ascii="Times New Roman" w:hAnsi="Times New Roman" w:eastAsia="仿宋_GB2312"/>
          <w:sz w:val="32"/>
          <w:szCs w:val="32"/>
        </w:rPr>
        <w:t>。</w:t>
      </w:r>
    </w:p>
    <w:p w14:paraId="257B9F9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bookmarkStart w:id="33" w:name="PO_part2ABAmount1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万元，与上年相比</w:t>
      </w:r>
      <w:bookmarkStart w:id="34" w:name="PO_part2AB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，主要原因是：</w:t>
      </w:r>
      <w:bookmarkStart w:id="35" w:name="PO_part2ABReason7"/>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w:t>
      </w:r>
    </w:p>
    <w:p w14:paraId="6F189CE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bookmarkStart w:id="36" w:name="PO_part2AB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万元，与上年相比</w:t>
      </w:r>
      <w:bookmarkStart w:id="37" w:name="PO_part2ABAmount1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，主要原因是：</w:t>
      </w:r>
      <w:bookmarkStart w:id="38" w:name="PO_part2ABReason8"/>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w:t>
      </w:r>
    </w:p>
    <w:p w14:paraId="59E8CFC7">
      <w:pPr>
        <w:spacing w:line="600" w:lineRule="exact"/>
        <w:ind w:firstLine="640" w:firstLineChars="200"/>
        <w:rPr>
          <w:rFonts w:hint="eastAsia" w:ascii="仿宋" w:hAnsi="仿宋" w:eastAsia="仿宋" w:cs="仿宋"/>
          <w:sz w:val="31"/>
          <w:szCs w:val="31"/>
        </w:rPr>
      </w:pPr>
      <w:r>
        <w:rPr>
          <w:rFonts w:hint="eastAsia" w:ascii="Times New Roman" w:hAnsi="Times New Roman" w:eastAsia="仿宋_GB2312"/>
          <w:sz w:val="32"/>
          <w:szCs w:val="32"/>
        </w:rPr>
        <w:t>2．上年结转结余</w:t>
      </w:r>
      <w:bookmarkStart w:id="39" w:name="PO_part2ABAmount19"/>
      <w:r>
        <w:rPr>
          <w:rFonts w:hint="eastAsia" w:ascii="Times New Roman" w:hAnsi="Times New Roman" w:eastAsia="仿宋_GB2312"/>
          <w:sz w:val="32"/>
          <w:szCs w:val="32"/>
        </w:rPr>
        <w:t>8814.46</w:t>
      </w:r>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万元。与上年相比</w:t>
      </w:r>
      <w:bookmarkStart w:id="40" w:name="PO_part2ABAmount20"/>
      <w:r>
        <w:rPr>
          <w:rFonts w:hint="eastAsia" w:ascii="Times New Roman" w:hAnsi="Times New Roman" w:eastAsia="仿宋_GB2312"/>
          <w:sz w:val="32"/>
          <w:szCs w:val="32"/>
        </w:rPr>
        <w:t>增加280.60万元，增长3.29%</w:t>
      </w:r>
      <w:r>
        <w:rPr>
          <w:rFonts w:hint="eastAsia" w:ascii="Times New Roman" w:hAnsi="Times New Roman" w:eastAsia="仿宋_GB2312"/>
          <w:sz w:val="11"/>
          <w:szCs w:val="11"/>
        </w:rPr>
        <w:t xml:space="preserve"> </w:t>
      </w:r>
      <w:bookmarkEnd w:id="40"/>
      <w:r>
        <w:rPr>
          <w:rFonts w:hint="eastAsia" w:ascii="Times New Roman" w:hAnsi="Times New Roman" w:eastAsia="仿宋_GB2312"/>
          <w:sz w:val="32"/>
          <w:szCs w:val="32"/>
        </w:rPr>
        <w:t>，主要原因是：</w:t>
      </w:r>
      <w:bookmarkStart w:id="41" w:name="PO_part2ABReason9"/>
      <w:r>
        <w:rPr>
          <w:rFonts w:hint="eastAsia" w:ascii="Times New Roman" w:hAnsi="Times New Roman" w:eastAsia="仿宋_GB2312"/>
          <w:sz w:val="32"/>
          <w:szCs w:val="32"/>
          <w:lang w:val="en-US" w:eastAsia="zh-CN"/>
        </w:rPr>
        <w:t>业务量增加，经营收入增加，结余增加</w:t>
      </w:r>
      <w:r>
        <w:rPr>
          <w:rFonts w:hint="eastAsia" w:ascii="Times New Roman" w:hAnsi="Times New Roman" w:eastAsia="仿宋_GB2312"/>
          <w:sz w:val="11"/>
          <w:szCs w:val="11"/>
        </w:rPr>
        <w:t xml:space="preserve"> </w:t>
      </w:r>
      <w:bookmarkEnd w:id="41"/>
      <w:r>
        <w:rPr>
          <w:rFonts w:ascii="仿宋" w:hAnsi="仿宋" w:eastAsia="仿宋" w:cs="仿宋"/>
          <w:spacing w:val="1"/>
          <w:sz w:val="31"/>
          <w:szCs w:val="31"/>
        </w:rPr>
        <w:t>。</w:t>
      </w:r>
    </w:p>
    <w:p w14:paraId="617C6B32">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（二）支出预算总计</w:t>
      </w:r>
      <w:bookmarkStart w:id="42" w:name="PO_part2ABAmount21"/>
      <w:r>
        <w:rPr>
          <w:rFonts w:hint="eastAsia" w:ascii="Times New Roman" w:hAnsi="Times New Roman" w:eastAsia="仿宋_GB2312"/>
          <w:b/>
          <w:bCs/>
          <w:sz w:val="32"/>
          <w:szCs w:val="32"/>
        </w:rPr>
        <w:t>23945.59</w:t>
      </w:r>
      <w:r>
        <w:rPr>
          <w:rFonts w:hint="eastAsia" w:ascii="楷体" w:hAnsi="楷体" w:eastAsia="楷体" w:cs="楷体"/>
          <w:b/>
          <w:bCs/>
          <w:sz w:val="11"/>
          <w:szCs w:val="13"/>
        </w:rPr>
        <w:t xml:space="preserve"> </w:t>
      </w:r>
      <w:bookmarkEnd w:id="42"/>
      <w:r>
        <w:rPr>
          <w:rFonts w:hint="eastAsia" w:ascii="楷体" w:hAnsi="楷体" w:eastAsia="楷体" w:cs="楷体"/>
          <w:b/>
          <w:bCs/>
          <w:sz w:val="32"/>
          <w:szCs w:val="36"/>
        </w:rPr>
        <w:t>万元。包括：</w:t>
      </w:r>
    </w:p>
    <w:p w14:paraId="1C3719D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w:t>
      </w:r>
      <w:bookmarkStart w:id="43" w:name="PO_part2ABAmount22"/>
      <w:r>
        <w:rPr>
          <w:rFonts w:hint="eastAsia" w:ascii="Times New Roman" w:hAnsi="Times New Roman" w:eastAsia="仿宋_GB2312"/>
          <w:sz w:val="32"/>
          <w:szCs w:val="32"/>
        </w:rPr>
        <w:t>23945.59</w:t>
      </w:r>
      <w:r>
        <w:rPr>
          <w:rFonts w:hint="eastAsia" w:ascii="Times New Roman" w:hAnsi="Times New Roman" w:eastAsia="仿宋_GB2312"/>
          <w:sz w:val="11"/>
          <w:szCs w:val="11"/>
        </w:rPr>
        <w:t xml:space="preserve"> </w:t>
      </w:r>
      <w:bookmarkEnd w:id="43"/>
      <w:r>
        <w:rPr>
          <w:rFonts w:hint="eastAsia" w:ascii="Times New Roman" w:hAnsi="Times New Roman" w:eastAsia="仿宋_GB2312"/>
          <w:sz w:val="32"/>
          <w:szCs w:val="32"/>
        </w:rPr>
        <w:t>万元。</w:t>
      </w:r>
    </w:p>
    <w:p w14:paraId="40034AE8">
      <w:pPr>
        <w:spacing w:line="600" w:lineRule="exact"/>
        <w:ind w:firstLine="640" w:firstLineChars="200"/>
        <w:rPr>
          <w:rFonts w:ascii="Times New Roman" w:hAnsi="Times New Roman" w:eastAsia="仿宋_GB2312"/>
          <w:sz w:val="32"/>
          <w:szCs w:val="32"/>
        </w:rPr>
      </w:pPr>
      <w:bookmarkStart w:id="44" w:name="PO_part2ABReason10"/>
      <w:r>
        <w:rPr>
          <w:rFonts w:hint="eastAsia" w:ascii="Times New Roman" w:hAnsi="Times New Roman" w:eastAsia="仿宋_GB2312"/>
          <w:sz w:val="32"/>
          <w:szCs w:val="32"/>
        </w:rPr>
        <w:t>（1）一般公共服务（类）支出23106.78万元，主要用于：</w:t>
      </w:r>
      <w:r>
        <w:rPr>
          <w:rFonts w:hint="eastAsia" w:ascii="Times New Roman" w:hAnsi="Times New Roman" w:eastAsia="仿宋_GB2312"/>
          <w:sz w:val="32"/>
          <w:szCs w:val="32"/>
          <w:lang w:val="en-US" w:eastAsia="zh-CN"/>
        </w:rPr>
        <w:t>日常检验工作的保障与人员工作能力的提升</w:t>
      </w:r>
      <w:r>
        <w:rPr>
          <w:rFonts w:hint="eastAsia" w:ascii="Times New Roman" w:hAnsi="Times New Roman" w:eastAsia="仿宋_GB2312"/>
          <w:sz w:val="32"/>
          <w:szCs w:val="32"/>
        </w:rPr>
        <w:t>；与上年相比增加800.66万元，增长3.59%，主要原因是：</w:t>
      </w:r>
      <w:r>
        <w:rPr>
          <w:rFonts w:hint="eastAsia" w:ascii="Times New Roman" w:hAnsi="Times New Roman" w:eastAsia="仿宋_GB2312"/>
          <w:sz w:val="32"/>
          <w:szCs w:val="32"/>
          <w:lang w:val="en-US" w:eastAsia="zh-CN"/>
        </w:rPr>
        <w:t>业务量增加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（2）科学技术（类）支出227.06万元，主要用于：</w:t>
      </w:r>
      <w:r>
        <w:rPr>
          <w:rFonts w:hint="eastAsia" w:ascii="Times New Roman" w:hAnsi="Times New Roman" w:eastAsia="仿宋_GB2312"/>
          <w:sz w:val="32"/>
          <w:szCs w:val="32"/>
          <w:lang w:val="en-US" w:eastAsia="zh-CN"/>
        </w:rPr>
        <w:t>本单位</w:t>
      </w:r>
      <w:r>
        <w:rPr>
          <w:rFonts w:hint="eastAsia" w:ascii="Times New Roman" w:hAnsi="Times New Roman" w:eastAsia="仿宋_GB2312"/>
          <w:sz w:val="32"/>
          <w:szCs w:val="32"/>
          <w:highlight w:val="none"/>
          <w:lang w:val="en-US" w:eastAsia="zh-CN"/>
        </w:rPr>
        <w:t>科研类项目支出</w:t>
      </w:r>
      <w:r>
        <w:rPr>
          <w:rFonts w:hint="eastAsia" w:ascii="Times New Roman" w:hAnsi="Times New Roman" w:eastAsia="仿宋_GB2312"/>
          <w:sz w:val="32"/>
          <w:szCs w:val="32"/>
        </w:rPr>
        <w:t>；与上年相比增加43.88万元，增长23.95%，主要原因是：</w:t>
      </w:r>
      <w:r>
        <w:rPr>
          <w:rFonts w:hint="eastAsia" w:ascii="Times New Roman" w:hAnsi="Times New Roman" w:eastAsia="仿宋_GB2312"/>
          <w:sz w:val="32"/>
          <w:szCs w:val="32"/>
          <w:lang w:val="en-US" w:eastAsia="zh-CN"/>
        </w:rPr>
        <w:t>本单位部分</w:t>
      </w:r>
      <w:r>
        <w:rPr>
          <w:rFonts w:hint="eastAsia" w:ascii="Times New Roman" w:hAnsi="Times New Roman" w:eastAsia="仿宋_GB2312"/>
          <w:sz w:val="32"/>
          <w:szCs w:val="32"/>
          <w:highlight w:val="none"/>
          <w:lang w:val="en-US" w:eastAsia="zh-CN"/>
        </w:rPr>
        <w:t>科研类项目正式启动导致2026年科研项目支出增长</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（3）社会保障和就业（类）支出348.08万元，主要用于：</w:t>
      </w:r>
      <w:r>
        <w:rPr>
          <w:rFonts w:hint="eastAsia" w:ascii="Times New Roman" w:hAnsi="Times New Roman" w:eastAsia="仿宋_GB2312"/>
          <w:sz w:val="32"/>
          <w:szCs w:val="32"/>
          <w:lang w:eastAsia="zh-CN"/>
        </w:rPr>
        <w:t>缴纳职工医疗保险</w:t>
      </w:r>
      <w:r>
        <w:rPr>
          <w:rFonts w:hint="eastAsia" w:ascii="Times New Roman" w:hAnsi="Times New Roman" w:eastAsia="仿宋_GB2312"/>
          <w:sz w:val="32"/>
          <w:szCs w:val="32"/>
        </w:rPr>
        <w:t>；与上年相比减少105.59万元，下降23.27%，主要原因是：202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年用经营资金弥补社会保障和就业（类）经费</w:t>
      </w:r>
      <w:r>
        <w:rPr>
          <w:rFonts w:hint="eastAsia" w:ascii="Times New Roman" w:hAnsi="Times New Roman" w:eastAsia="仿宋_GB2312"/>
          <w:sz w:val="32"/>
          <w:szCs w:val="32"/>
          <w:lang w:val="en-US" w:eastAsia="zh-CN"/>
        </w:rPr>
        <w:t>预算增加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（4）卫生健康（类）支出111.46万元，主要用于：</w:t>
      </w:r>
      <w:r>
        <w:rPr>
          <w:rFonts w:hint="eastAsia" w:ascii="Times New Roman" w:hAnsi="Times New Roman" w:eastAsia="仿宋_GB2312"/>
          <w:sz w:val="32"/>
          <w:szCs w:val="32"/>
          <w:lang w:eastAsia="zh-CN"/>
        </w:rPr>
        <w:t>缴纳职工医疗保险</w:t>
      </w:r>
      <w:r>
        <w:rPr>
          <w:rFonts w:hint="eastAsia" w:ascii="Times New Roman" w:hAnsi="Times New Roman" w:eastAsia="仿宋_GB2312"/>
          <w:sz w:val="32"/>
          <w:szCs w:val="32"/>
        </w:rPr>
        <w:t>；与上年相比减少8.35万元，下降6.97%，主要原因是：202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年用经营资金弥补卫生健康（类）经费</w:t>
      </w:r>
      <w:r>
        <w:rPr>
          <w:rFonts w:hint="eastAsia" w:ascii="Times New Roman" w:hAnsi="Times New Roman" w:eastAsia="仿宋_GB2312"/>
          <w:sz w:val="32"/>
          <w:szCs w:val="32"/>
          <w:lang w:val="en-US" w:eastAsia="zh-CN"/>
        </w:rPr>
        <w:t>预算增加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（5）住房保障（类）支出152.20万元，主要用于：</w:t>
      </w:r>
      <w:r>
        <w:rPr>
          <w:rFonts w:hint="eastAsia" w:ascii="Times New Roman" w:hAnsi="Times New Roman" w:eastAsia="仿宋_GB2312"/>
          <w:sz w:val="32"/>
          <w:szCs w:val="32"/>
          <w:lang w:val="en-US" w:eastAsia="zh-CN"/>
        </w:rPr>
        <w:t>缴纳职工住房公积金</w:t>
      </w:r>
      <w:r>
        <w:rPr>
          <w:rFonts w:hint="eastAsia" w:ascii="Times New Roman" w:hAnsi="Times New Roman" w:eastAsia="仿宋_GB2312"/>
          <w:sz w:val="32"/>
          <w:szCs w:val="32"/>
        </w:rPr>
        <w:t>；与上年相比减少1.57万元，下降1.02%，主要原因是：202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年用经营资金弥补住房保障（类）经费</w:t>
      </w:r>
      <w:r>
        <w:rPr>
          <w:rFonts w:hint="eastAsia" w:ascii="Times New Roman" w:hAnsi="Times New Roman" w:eastAsia="仿宋_GB2312"/>
          <w:sz w:val="32"/>
          <w:szCs w:val="32"/>
          <w:lang w:val="en-US" w:eastAsia="zh-CN"/>
        </w:rPr>
        <w:t>预算增加</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44"/>
    </w:p>
    <w:p w14:paraId="0244C59C">
      <w:pPr>
        <w:spacing w:line="600" w:lineRule="exact"/>
        <w:ind w:firstLine="640" w:firstLineChars="200"/>
        <w:rPr>
          <w:rFonts w:hint="eastAsia" w:ascii="仿宋" w:hAnsi="仿宋" w:eastAsia="仿宋" w:cs="仿宋"/>
          <w:sz w:val="11"/>
          <w:szCs w:val="11"/>
        </w:rPr>
      </w:pPr>
      <w:r>
        <w:rPr>
          <w:rFonts w:hint="eastAsia" w:ascii="Times New Roman" w:hAnsi="Times New Roman" w:eastAsia="仿宋_GB2312"/>
          <w:sz w:val="32"/>
          <w:szCs w:val="32"/>
        </w:rPr>
        <w:t>2．年终结转结余</w:t>
      </w:r>
      <w:bookmarkStart w:id="45" w:name="PO_part2AB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45"/>
      <w:r>
        <w:rPr>
          <w:rFonts w:hint="eastAsia" w:ascii="Times New Roman" w:hAnsi="Times New Roman" w:eastAsia="仿宋_GB2312"/>
          <w:sz w:val="32"/>
          <w:szCs w:val="32"/>
        </w:rPr>
        <w:t>万元，与上年相比</w:t>
      </w:r>
      <w:bookmarkStart w:id="46" w:name="PO_part2ABAmount2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46"/>
      <w:r>
        <w:rPr>
          <w:rFonts w:hint="eastAsia" w:ascii="Times New Roman" w:hAnsi="Times New Roman" w:eastAsia="仿宋_GB2312"/>
          <w:sz w:val="32"/>
          <w:szCs w:val="32"/>
        </w:rPr>
        <w:t>，主要原因是：</w:t>
      </w:r>
      <w:bookmarkStart w:id="47" w:name="PO_part2ABReason11"/>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7"/>
      <w:r>
        <w:rPr>
          <w:rFonts w:hint="eastAsia" w:ascii="Times New Roman" w:hAnsi="Times New Roman" w:eastAsia="仿宋_GB2312"/>
          <w:sz w:val="32"/>
          <w:szCs w:val="32"/>
        </w:rPr>
        <w:t>。</w:t>
      </w:r>
    </w:p>
    <w:p w14:paraId="297B9814">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二、收入预算情况说明</w:t>
      </w:r>
    </w:p>
    <w:p w14:paraId="35300367">
      <w:pPr>
        <w:spacing w:line="600" w:lineRule="exact"/>
        <w:ind w:firstLine="640" w:firstLineChars="200"/>
        <w:rPr>
          <w:rFonts w:ascii="Times New Roman" w:hAnsi="Times New Roman" w:eastAsia="仿宋_GB2312"/>
          <w:sz w:val="32"/>
          <w:szCs w:val="32"/>
        </w:rPr>
      </w:pPr>
      <w:bookmarkStart w:id="48" w:name="PO_part2A1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48"/>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年度收入预算总计</w:t>
      </w:r>
      <w:bookmarkStart w:id="49" w:name="PO_part2A1Amount2"/>
      <w:r>
        <w:rPr>
          <w:rFonts w:hint="eastAsia" w:ascii="Times New Roman" w:hAnsi="Times New Roman" w:eastAsia="仿宋_GB2312"/>
          <w:sz w:val="32"/>
          <w:szCs w:val="32"/>
        </w:rPr>
        <w:t>23945.59</w:t>
      </w:r>
      <w:r>
        <w:rPr>
          <w:rFonts w:hint="eastAsia" w:ascii="Times New Roman" w:hAnsi="Times New Roman" w:eastAsia="仿宋_GB2312"/>
          <w:sz w:val="11"/>
          <w:szCs w:val="11"/>
        </w:rPr>
        <w:t xml:space="preserve"> </w:t>
      </w:r>
      <w:bookmarkEnd w:id="49"/>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bookmarkStart w:id="50" w:name="PO_part2A1Amount3"/>
      <w:r>
        <w:rPr>
          <w:rFonts w:hint="eastAsia" w:ascii="Times New Roman" w:hAnsi="Times New Roman" w:eastAsia="仿宋_GB2312"/>
          <w:sz w:val="32"/>
          <w:szCs w:val="32"/>
        </w:rPr>
        <w:t>15131.13</w:t>
      </w:r>
      <w:r>
        <w:rPr>
          <w:rFonts w:hint="eastAsia" w:ascii="Times New Roman" w:hAnsi="Times New Roman" w:eastAsia="仿宋_GB2312"/>
          <w:sz w:val="11"/>
          <w:szCs w:val="11"/>
        </w:rPr>
        <w:t xml:space="preserve"> </w:t>
      </w:r>
      <w:bookmarkEnd w:id="50"/>
      <w:r>
        <w:rPr>
          <w:rFonts w:hint="eastAsia" w:ascii="Times New Roman" w:hAnsi="Times New Roman" w:eastAsia="仿宋_GB2312"/>
          <w:sz w:val="32"/>
          <w:szCs w:val="32"/>
        </w:rPr>
        <w:t>万元，上年结转结余</w:t>
      </w:r>
      <w:bookmarkStart w:id="51" w:name="PO_part2A1Amount4"/>
      <w:r>
        <w:rPr>
          <w:rFonts w:hint="eastAsia" w:ascii="Times New Roman" w:hAnsi="Times New Roman" w:eastAsia="仿宋_GB2312"/>
          <w:sz w:val="32"/>
          <w:szCs w:val="32"/>
        </w:rPr>
        <w:t>8814.46</w:t>
      </w:r>
      <w:r>
        <w:rPr>
          <w:rFonts w:hint="eastAsia" w:ascii="Times New Roman" w:hAnsi="Times New Roman" w:eastAsia="仿宋_GB2312"/>
          <w:sz w:val="11"/>
          <w:szCs w:val="11"/>
        </w:rPr>
        <w:t xml:space="preserve"> </w:t>
      </w:r>
      <w:bookmarkEnd w:id="51"/>
      <w:r>
        <w:rPr>
          <w:rFonts w:hint="eastAsia" w:ascii="Times New Roman" w:hAnsi="Times New Roman" w:eastAsia="仿宋_GB2312"/>
          <w:sz w:val="32"/>
          <w:szCs w:val="32"/>
        </w:rPr>
        <w:t>万元。其中：</w:t>
      </w:r>
    </w:p>
    <w:p w14:paraId="7512181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2" w:name="PO_part2A1Amount5"/>
      <w:r>
        <w:rPr>
          <w:rFonts w:hint="eastAsia" w:ascii="Times New Roman" w:hAnsi="Times New Roman" w:eastAsia="仿宋_GB2312"/>
          <w:sz w:val="32"/>
          <w:szCs w:val="32"/>
        </w:rPr>
        <w:t>7161.01</w:t>
      </w:r>
      <w:r>
        <w:rPr>
          <w:rFonts w:hint="eastAsia" w:ascii="Times New Roman" w:hAnsi="Times New Roman" w:eastAsia="仿宋_GB2312"/>
          <w:sz w:val="11"/>
          <w:szCs w:val="11"/>
        </w:rPr>
        <w:t xml:space="preserve"> </w:t>
      </w:r>
      <w:bookmarkEnd w:id="52"/>
      <w:r>
        <w:rPr>
          <w:rFonts w:hint="eastAsia" w:ascii="Times New Roman" w:hAnsi="Times New Roman" w:eastAsia="仿宋_GB2312"/>
          <w:sz w:val="32"/>
          <w:szCs w:val="32"/>
        </w:rPr>
        <w:t>万元，占</w:t>
      </w:r>
      <w:bookmarkStart w:id="53" w:name="PO_part2A1Amount6"/>
      <w:r>
        <w:rPr>
          <w:rFonts w:hint="eastAsia" w:ascii="Times New Roman" w:hAnsi="Times New Roman" w:eastAsia="仿宋_GB2312"/>
          <w:sz w:val="32"/>
          <w:szCs w:val="32"/>
        </w:rPr>
        <w:t>29.91</w:t>
      </w:r>
      <w:r>
        <w:rPr>
          <w:rFonts w:hint="eastAsia" w:ascii="Times New Roman" w:hAnsi="Times New Roman" w:eastAsia="仿宋_GB2312"/>
          <w:sz w:val="22"/>
          <w:szCs w:val="22"/>
        </w:rPr>
        <w:t xml:space="preserve"> </w:t>
      </w:r>
      <w:bookmarkEnd w:id="53"/>
      <w:r>
        <w:rPr>
          <w:rFonts w:hint="eastAsia" w:ascii="Times New Roman" w:hAnsi="Times New Roman" w:eastAsia="仿宋_GB2312"/>
          <w:sz w:val="32"/>
          <w:szCs w:val="32"/>
        </w:rPr>
        <w:t>%；</w:t>
      </w:r>
    </w:p>
    <w:p w14:paraId="1316CE5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bookmarkStart w:id="54" w:name="PO_part2A1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4"/>
      <w:r>
        <w:rPr>
          <w:rFonts w:hint="eastAsia" w:ascii="Times New Roman" w:hAnsi="Times New Roman" w:eastAsia="仿宋_GB2312"/>
          <w:sz w:val="32"/>
          <w:szCs w:val="32"/>
        </w:rPr>
        <w:t>万元，占</w:t>
      </w:r>
      <w:bookmarkStart w:id="55" w:name="PO_part2A1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5"/>
      <w:r>
        <w:rPr>
          <w:rFonts w:hint="eastAsia" w:ascii="Times New Roman" w:hAnsi="Times New Roman" w:eastAsia="仿宋_GB2312"/>
          <w:sz w:val="32"/>
          <w:szCs w:val="32"/>
        </w:rPr>
        <w:t>%；</w:t>
      </w:r>
    </w:p>
    <w:p w14:paraId="42DE44C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bookmarkStart w:id="56" w:name="PO_part2A1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6"/>
      <w:r>
        <w:rPr>
          <w:rFonts w:hint="eastAsia" w:ascii="Times New Roman" w:hAnsi="Times New Roman" w:eastAsia="仿宋_GB2312"/>
          <w:sz w:val="32"/>
          <w:szCs w:val="32"/>
        </w:rPr>
        <w:t>万元，占</w:t>
      </w:r>
      <w:bookmarkStart w:id="57" w:name="PO_part2A1Amount10"/>
      <w:r>
        <w:rPr>
          <w:rFonts w:hint="eastAsia" w:ascii="Times New Roman" w:hAnsi="Times New Roman" w:eastAsia="仿宋_GB2312"/>
          <w:sz w:val="32"/>
          <w:szCs w:val="32"/>
        </w:rPr>
        <w:t>0.00</w:t>
      </w:r>
      <w:r>
        <w:rPr>
          <w:rFonts w:hint="eastAsia" w:ascii="Times New Roman" w:hAnsi="Times New Roman" w:eastAsia="仿宋_GB2312"/>
          <w:sz w:val="24"/>
        </w:rPr>
        <w:t xml:space="preserve"> </w:t>
      </w:r>
      <w:bookmarkEnd w:id="57"/>
      <w:r>
        <w:rPr>
          <w:rFonts w:hint="eastAsia" w:ascii="Times New Roman" w:hAnsi="Times New Roman" w:eastAsia="仿宋_GB2312"/>
          <w:sz w:val="32"/>
          <w:szCs w:val="32"/>
        </w:rPr>
        <w:t>%；</w:t>
      </w:r>
    </w:p>
    <w:p w14:paraId="32CB60E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bookmarkStart w:id="58" w:name="PO_part2A1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8"/>
      <w:r>
        <w:rPr>
          <w:rFonts w:hint="eastAsia" w:ascii="Times New Roman" w:hAnsi="Times New Roman" w:eastAsia="仿宋_GB2312"/>
          <w:sz w:val="32"/>
          <w:szCs w:val="32"/>
        </w:rPr>
        <w:t>万元，占</w:t>
      </w:r>
      <w:bookmarkStart w:id="59" w:name="PO_part2A1Amount12"/>
      <w:r>
        <w:rPr>
          <w:rFonts w:hint="eastAsia" w:ascii="Times New Roman" w:hAnsi="Times New Roman" w:eastAsia="仿宋_GB2312"/>
          <w:sz w:val="32"/>
          <w:szCs w:val="32"/>
        </w:rPr>
        <w:t xml:space="preserve">0.00 </w:t>
      </w:r>
      <w:bookmarkEnd w:id="59"/>
      <w:r>
        <w:rPr>
          <w:rFonts w:hint="eastAsia" w:ascii="Times New Roman" w:hAnsi="Times New Roman" w:eastAsia="仿宋_GB2312"/>
          <w:sz w:val="32"/>
          <w:szCs w:val="32"/>
        </w:rPr>
        <w:t>%；</w:t>
      </w:r>
    </w:p>
    <w:p w14:paraId="6D99BA3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bookmarkStart w:id="60" w:name="PO_part2A1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0"/>
      <w:r>
        <w:rPr>
          <w:rFonts w:hint="eastAsia" w:ascii="Times New Roman" w:hAnsi="Times New Roman" w:eastAsia="仿宋_GB2312"/>
          <w:sz w:val="32"/>
          <w:szCs w:val="32"/>
        </w:rPr>
        <w:t>万元，占</w:t>
      </w:r>
      <w:bookmarkStart w:id="61" w:name="PO_part2A1Amount14"/>
      <w:r>
        <w:rPr>
          <w:rFonts w:hint="eastAsia" w:ascii="Times New Roman" w:hAnsi="Times New Roman" w:eastAsia="仿宋_GB2312"/>
          <w:sz w:val="32"/>
          <w:szCs w:val="32"/>
        </w:rPr>
        <w:t xml:space="preserve">0.00 </w:t>
      </w:r>
      <w:bookmarkEnd w:id="61"/>
      <w:r>
        <w:rPr>
          <w:rFonts w:hint="eastAsia" w:ascii="Times New Roman" w:hAnsi="Times New Roman" w:eastAsia="仿宋_GB2312"/>
          <w:sz w:val="32"/>
          <w:szCs w:val="32"/>
        </w:rPr>
        <w:t>%；</w:t>
      </w:r>
    </w:p>
    <w:p w14:paraId="72B2A09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bookmarkStart w:id="62" w:name="PO_part2A1Amount15"/>
      <w:r>
        <w:rPr>
          <w:rFonts w:hint="eastAsia" w:ascii="Times New Roman" w:hAnsi="Times New Roman" w:eastAsia="仿宋_GB2312"/>
          <w:sz w:val="32"/>
          <w:szCs w:val="32"/>
        </w:rPr>
        <w:t>7970.12</w:t>
      </w:r>
      <w:r>
        <w:rPr>
          <w:rFonts w:hint="eastAsia" w:ascii="Times New Roman" w:hAnsi="Times New Roman" w:eastAsia="仿宋_GB2312"/>
          <w:sz w:val="11"/>
          <w:szCs w:val="11"/>
        </w:rPr>
        <w:t xml:space="preserve"> </w:t>
      </w:r>
      <w:bookmarkEnd w:id="62"/>
      <w:r>
        <w:rPr>
          <w:rFonts w:hint="eastAsia" w:ascii="Times New Roman" w:hAnsi="Times New Roman" w:eastAsia="仿宋_GB2312"/>
          <w:sz w:val="32"/>
          <w:szCs w:val="32"/>
        </w:rPr>
        <w:t>万元，占</w:t>
      </w:r>
      <w:bookmarkStart w:id="63" w:name="PO_part2A1Amount16"/>
      <w:r>
        <w:rPr>
          <w:rFonts w:hint="eastAsia" w:ascii="Times New Roman" w:hAnsi="Times New Roman" w:eastAsia="仿宋_GB2312"/>
          <w:sz w:val="32"/>
          <w:szCs w:val="32"/>
        </w:rPr>
        <w:t xml:space="preserve">33.28 </w:t>
      </w:r>
      <w:bookmarkEnd w:id="63"/>
      <w:r>
        <w:rPr>
          <w:rFonts w:hint="eastAsia" w:ascii="Times New Roman" w:hAnsi="Times New Roman" w:eastAsia="仿宋_GB2312"/>
          <w:sz w:val="32"/>
          <w:szCs w:val="32"/>
        </w:rPr>
        <w:t>%；</w:t>
      </w:r>
    </w:p>
    <w:p w14:paraId="4A26774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bookmarkStart w:id="64" w:name="PO_part2A1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4"/>
      <w:r>
        <w:rPr>
          <w:rFonts w:hint="eastAsia" w:ascii="Times New Roman" w:hAnsi="Times New Roman" w:eastAsia="仿宋_GB2312"/>
          <w:sz w:val="32"/>
          <w:szCs w:val="32"/>
        </w:rPr>
        <w:t>万元，占</w:t>
      </w:r>
      <w:bookmarkStart w:id="65" w:name="PO_part2A1Amount18"/>
      <w:r>
        <w:rPr>
          <w:rFonts w:hint="eastAsia" w:ascii="Times New Roman" w:hAnsi="Times New Roman" w:eastAsia="仿宋_GB2312"/>
          <w:sz w:val="32"/>
          <w:szCs w:val="32"/>
        </w:rPr>
        <w:t xml:space="preserve">0.00 </w:t>
      </w:r>
      <w:bookmarkEnd w:id="65"/>
      <w:r>
        <w:rPr>
          <w:rFonts w:hint="eastAsia" w:ascii="Times New Roman" w:hAnsi="Times New Roman" w:eastAsia="仿宋_GB2312"/>
          <w:sz w:val="32"/>
          <w:szCs w:val="32"/>
        </w:rPr>
        <w:t>%；</w:t>
      </w:r>
    </w:p>
    <w:p w14:paraId="5FB5FD3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bookmarkStart w:id="66" w:name="PO_part2A1Amount1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6"/>
      <w:r>
        <w:rPr>
          <w:rFonts w:hint="eastAsia" w:ascii="Times New Roman" w:hAnsi="Times New Roman" w:eastAsia="仿宋_GB2312"/>
          <w:sz w:val="32"/>
          <w:szCs w:val="32"/>
        </w:rPr>
        <w:t>万元，占</w:t>
      </w:r>
      <w:bookmarkStart w:id="67" w:name="PO_part2A1Amount20"/>
      <w:r>
        <w:rPr>
          <w:rFonts w:hint="eastAsia" w:ascii="Times New Roman" w:hAnsi="Times New Roman" w:eastAsia="仿宋_GB2312"/>
          <w:sz w:val="32"/>
          <w:szCs w:val="32"/>
        </w:rPr>
        <w:t xml:space="preserve">0.00 </w:t>
      </w:r>
      <w:bookmarkEnd w:id="67"/>
      <w:r>
        <w:rPr>
          <w:rFonts w:hint="eastAsia" w:ascii="Times New Roman" w:hAnsi="Times New Roman" w:eastAsia="仿宋_GB2312"/>
          <w:sz w:val="32"/>
          <w:szCs w:val="32"/>
        </w:rPr>
        <w:t>%；</w:t>
      </w:r>
    </w:p>
    <w:p w14:paraId="3AE43F3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68" w:name="PO_part2A1Amount2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8"/>
      <w:r>
        <w:rPr>
          <w:rFonts w:hint="eastAsia" w:ascii="Times New Roman" w:hAnsi="Times New Roman" w:eastAsia="仿宋_GB2312"/>
          <w:sz w:val="32"/>
          <w:szCs w:val="32"/>
        </w:rPr>
        <w:t>万元，占</w:t>
      </w:r>
      <w:bookmarkStart w:id="69" w:name="PO_part2A1Amount22"/>
      <w:r>
        <w:rPr>
          <w:rFonts w:hint="eastAsia" w:ascii="Times New Roman" w:hAnsi="Times New Roman" w:eastAsia="仿宋_GB2312"/>
          <w:sz w:val="32"/>
          <w:szCs w:val="32"/>
        </w:rPr>
        <w:t xml:space="preserve">0.00 </w:t>
      </w:r>
      <w:bookmarkEnd w:id="69"/>
      <w:r>
        <w:rPr>
          <w:rFonts w:hint="eastAsia" w:ascii="Times New Roman" w:hAnsi="Times New Roman" w:eastAsia="仿宋_GB2312"/>
          <w:sz w:val="32"/>
          <w:szCs w:val="32"/>
        </w:rPr>
        <w:t>%；</w:t>
      </w:r>
    </w:p>
    <w:p w14:paraId="0FFFAE8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bookmarkStart w:id="70" w:name="PO_part2A1Amount23"/>
      <w:r>
        <w:rPr>
          <w:rFonts w:hint="eastAsia" w:ascii="Times New Roman" w:hAnsi="Times New Roman" w:eastAsia="仿宋_GB2312"/>
          <w:sz w:val="32"/>
          <w:szCs w:val="32"/>
        </w:rPr>
        <w:t>227.06</w:t>
      </w:r>
      <w:r>
        <w:rPr>
          <w:rFonts w:hint="eastAsia" w:ascii="Times New Roman" w:hAnsi="Times New Roman" w:eastAsia="仿宋_GB2312"/>
          <w:sz w:val="11"/>
          <w:szCs w:val="11"/>
        </w:rPr>
        <w:t xml:space="preserve"> </w:t>
      </w:r>
      <w:bookmarkEnd w:id="70"/>
      <w:r>
        <w:rPr>
          <w:rFonts w:hint="eastAsia" w:ascii="Times New Roman" w:hAnsi="Times New Roman" w:eastAsia="仿宋_GB2312"/>
          <w:sz w:val="32"/>
          <w:szCs w:val="32"/>
        </w:rPr>
        <w:t>万元，占</w:t>
      </w:r>
      <w:bookmarkStart w:id="71" w:name="PO_part2A1Amount24"/>
      <w:r>
        <w:rPr>
          <w:rFonts w:hint="eastAsia" w:ascii="Times New Roman" w:hAnsi="Times New Roman" w:eastAsia="仿宋_GB2312"/>
          <w:sz w:val="32"/>
          <w:szCs w:val="32"/>
        </w:rPr>
        <w:t xml:space="preserve">0.95 </w:t>
      </w:r>
      <w:bookmarkEnd w:id="71"/>
      <w:r>
        <w:rPr>
          <w:rFonts w:hint="eastAsia" w:ascii="Times New Roman" w:hAnsi="Times New Roman" w:eastAsia="仿宋_GB2312"/>
          <w:sz w:val="32"/>
          <w:szCs w:val="32"/>
        </w:rPr>
        <w:t>%；</w:t>
      </w:r>
    </w:p>
    <w:p w14:paraId="2F2CF0B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bookmarkStart w:id="72" w:name="PO_part2A1Amount2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2"/>
      <w:r>
        <w:rPr>
          <w:rFonts w:hint="eastAsia" w:ascii="Times New Roman" w:hAnsi="Times New Roman" w:eastAsia="仿宋_GB2312"/>
          <w:sz w:val="32"/>
          <w:szCs w:val="32"/>
        </w:rPr>
        <w:t>万元，占</w:t>
      </w:r>
      <w:bookmarkStart w:id="73" w:name="PO_part2A1Amount26"/>
      <w:r>
        <w:rPr>
          <w:rFonts w:hint="eastAsia" w:ascii="Times New Roman" w:hAnsi="Times New Roman" w:eastAsia="仿宋_GB2312"/>
          <w:sz w:val="32"/>
          <w:szCs w:val="32"/>
        </w:rPr>
        <w:t xml:space="preserve">0.00 </w:t>
      </w:r>
      <w:bookmarkEnd w:id="73"/>
      <w:r>
        <w:rPr>
          <w:rFonts w:hint="eastAsia" w:ascii="Times New Roman" w:hAnsi="Times New Roman" w:eastAsia="仿宋_GB2312"/>
          <w:sz w:val="32"/>
          <w:szCs w:val="32"/>
        </w:rPr>
        <w:t>%；</w:t>
      </w:r>
    </w:p>
    <w:p w14:paraId="4614B62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bookmarkStart w:id="74" w:name="PO_part2A1Amount2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4"/>
      <w:r>
        <w:rPr>
          <w:rFonts w:hint="eastAsia" w:ascii="Times New Roman" w:hAnsi="Times New Roman" w:eastAsia="仿宋_GB2312"/>
          <w:sz w:val="32"/>
          <w:szCs w:val="32"/>
        </w:rPr>
        <w:t>万元，占</w:t>
      </w:r>
      <w:bookmarkStart w:id="75" w:name="PO_part2A1Amount28"/>
      <w:r>
        <w:rPr>
          <w:rFonts w:hint="eastAsia" w:ascii="Times New Roman" w:hAnsi="Times New Roman" w:eastAsia="仿宋_GB2312"/>
          <w:sz w:val="32"/>
          <w:szCs w:val="32"/>
        </w:rPr>
        <w:t>0.00</w:t>
      </w:r>
      <w:r>
        <w:rPr>
          <w:rFonts w:hint="eastAsia" w:ascii="Times New Roman" w:hAnsi="Times New Roman" w:eastAsia="仿宋_GB2312"/>
          <w:sz w:val="18"/>
          <w:szCs w:val="18"/>
        </w:rPr>
        <w:t xml:space="preserve"> </w:t>
      </w:r>
      <w:bookmarkEnd w:id="75"/>
      <w:r>
        <w:rPr>
          <w:rFonts w:hint="eastAsia" w:ascii="Times New Roman" w:hAnsi="Times New Roman" w:eastAsia="仿宋_GB2312"/>
          <w:sz w:val="32"/>
          <w:szCs w:val="32"/>
        </w:rPr>
        <w:t>%；</w:t>
      </w:r>
    </w:p>
    <w:p w14:paraId="7BF04A2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76" w:name="PO_part2A1Amount2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6"/>
      <w:r>
        <w:rPr>
          <w:rFonts w:hint="eastAsia" w:ascii="Times New Roman" w:hAnsi="Times New Roman" w:eastAsia="仿宋_GB2312"/>
          <w:sz w:val="32"/>
          <w:szCs w:val="32"/>
        </w:rPr>
        <w:t>万元，占</w:t>
      </w:r>
      <w:bookmarkStart w:id="77" w:name="PO_part2A1Amount30"/>
      <w:r>
        <w:rPr>
          <w:rFonts w:hint="eastAsia" w:ascii="Times New Roman" w:hAnsi="Times New Roman" w:eastAsia="仿宋_GB2312"/>
          <w:sz w:val="32"/>
          <w:szCs w:val="32"/>
        </w:rPr>
        <w:t>0.00</w:t>
      </w:r>
      <w:r>
        <w:rPr>
          <w:rFonts w:hint="eastAsia" w:ascii="Times New Roman" w:hAnsi="Times New Roman" w:eastAsia="仿宋_GB2312"/>
          <w:szCs w:val="21"/>
        </w:rPr>
        <w:t xml:space="preserve"> </w:t>
      </w:r>
      <w:bookmarkEnd w:id="77"/>
      <w:r>
        <w:rPr>
          <w:rFonts w:hint="eastAsia" w:ascii="Times New Roman" w:hAnsi="Times New Roman" w:eastAsia="仿宋_GB2312"/>
          <w:sz w:val="32"/>
          <w:szCs w:val="32"/>
        </w:rPr>
        <w:t>%；</w:t>
      </w:r>
    </w:p>
    <w:p w14:paraId="3F8A7B4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bookmarkStart w:id="78" w:name="PO_part2A1Amount31"/>
      <w:r>
        <w:rPr>
          <w:rFonts w:hint="eastAsia" w:ascii="Times New Roman" w:hAnsi="Times New Roman" w:eastAsia="仿宋_GB2312"/>
          <w:sz w:val="32"/>
          <w:szCs w:val="32"/>
        </w:rPr>
        <w:t>8587.40</w:t>
      </w:r>
      <w:r>
        <w:rPr>
          <w:rFonts w:hint="eastAsia" w:ascii="Times New Roman" w:hAnsi="Times New Roman" w:eastAsia="仿宋_GB2312"/>
          <w:sz w:val="11"/>
          <w:szCs w:val="11"/>
        </w:rPr>
        <w:t xml:space="preserve"> </w:t>
      </w:r>
      <w:bookmarkEnd w:id="78"/>
      <w:r>
        <w:rPr>
          <w:rFonts w:hint="eastAsia" w:ascii="Times New Roman" w:hAnsi="Times New Roman" w:eastAsia="仿宋_GB2312"/>
          <w:sz w:val="32"/>
          <w:szCs w:val="32"/>
        </w:rPr>
        <w:t>万元，占</w:t>
      </w:r>
      <w:bookmarkStart w:id="79" w:name="PO_part2A1Amount32"/>
      <w:r>
        <w:rPr>
          <w:rFonts w:hint="eastAsia" w:ascii="Times New Roman" w:hAnsi="Times New Roman" w:eastAsia="仿宋_GB2312"/>
          <w:sz w:val="32"/>
          <w:szCs w:val="32"/>
        </w:rPr>
        <w:t>35.86</w:t>
      </w:r>
      <w:r>
        <w:rPr>
          <w:rFonts w:hint="eastAsia" w:ascii="Times New Roman" w:hAnsi="Times New Roman" w:eastAsia="仿宋_GB2312"/>
          <w:sz w:val="11"/>
          <w:szCs w:val="11"/>
        </w:rPr>
        <w:t xml:space="preserve"> </w:t>
      </w:r>
      <w:bookmarkEnd w:id="79"/>
      <w:r>
        <w:rPr>
          <w:rFonts w:hint="eastAsia" w:ascii="Times New Roman" w:hAnsi="Times New Roman" w:eastAsia="仿宋_GB2312"/>
          <w:sz w:val="32"/>
          <w:szCs w:val="32"/>
        </w:rPr>
        <w:t>%。</w:t>
      </w:r>
    </w:p>
    <w:p w14:paraId="423731D4">
      <w:pPr>
        <w:pStyle w:val="6"/>
        <w:spacing w:line="250" w:lineRule="auto"/>
      </w:pPr>
    </w:p>
    <w:p w14:paraId="626AE1E6">
      <w:pPr>
        <w:spacing w:before="101" w:line="222" w:lineRule="auto"/>
        <w:jc w:val="center"/>
        <w:rPr>
          <w:rFonts w:hint="eastAsia" w:ascii="仿宋" w:hAnsi="仿宋" w:eastAsia="仿宋" w:cs="仿宋"/>
          <w:spacing w:val="3"/>
          <w:sz w:val="31"/>
          <w:szCs w:val="31"/>
        </w:rPr>
      </w:pPr>
      <w:bookmarkStart w:id="80" w:name="PO_part2A1Table1"/>
      <w:r>
        <w:rPr>
          <w:rFonts w:hint="eastAsia" w:ascii="仿宋" w:hAnsi="仿宋" w:eastAsia="仿宋" w:cs="仿宋"/>
          <w:spacing w:val="3"/>
          <w:sz w:val="31"/>
          <w:szCs w:val="31"/>
        </w:rPr>
        <w:drawing>
          <wp:inline distT="0" distB="0" distL="114300" distR="114300">
            <wp:extent cx="4773295" cy="3110230"/>
            <wp:effectExtent l="4445" t="4445" r="1016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s="仿宋"/>
          <w:spacing w:val="3"/>
          <w:sz w:val="31"/>
          <w:szCs w:val="31"/>
        </w:rPr>
        <w:t xml:space="preserve">  </w:t>
      </w:r>
      <w:bookmarkEnd w:id="80"/>
    </w:p>
    <w:p w14:paraId="063C9E05">
      <w:pPr>
        <w:pStyle w:val="2"/>
        <w:keepNext w:val="0"/>
        <w:keepLines w:val="0"/>
        <w:pageBreakBefore w:val="0"/>
        <w:widowControl w:val="0"/>
        <w:kinsoku/>
        <w:wordWrap/>
        <w:overflowPunct/>
        <w:topLinePunct w:val="0"/>
        <w:autoSpaceDE/>
        <w:autoSpaceDN/>
        <w:bidi w:val="0"/>
        <w:adjustRightInd/>
        <w:snapToGrid/>
        <w:spacing w:before="120"/>
        <w:ind w:left="0" w:leftChars="0" w:firstLine="0" w:firstLineChars="0"/>
        <w:jc w:val="center"/>
        <w:textAlignment w:val="auto"/>
        <w:rPr>
          <w:rFonts w:hint="default" w:eastAsia="仿宋"/>
          <w:lang w:val="en-US" w:eastAsia="zh-CN"/>
        </w:rPr>
      </w:pPr>
      <w:r>
        <w:rPr>
          <w:rFonts w:hint="eastAsia" w:ascii="仿宋_GB2312" w:hAnsi="仿宋_GB2312" w:eastAsia="仿宋_GB2312" w:cs="仿宋_GB2312"/>
          <w:spacing w:val="3"/>
          <w:sz w:val="28"/>
          <w:szCs w:val="28"/>
          <w:lang w:val="en-US" w:eastAsia="zh-CN"/>
        </w:rPr>
        <w:t>图1.收入预算图</w:t>
      </w:r>
    </w:p>
    <w:p w14:paraId="7E68174F">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三、支出预算情况说明</w:t>
      </w:r>
    </w:p>
    <w:p w14:paraId="5B4D58A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bookmarkStart w:id="81" w:name="PO_part2A2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81"/>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年度支出预算合计</w:t>
      </w:r>
      <w:bookmarkStart w:id="82" w:name="PO_part2A2Amount2"/>
      <w:r>
        <w:rPr>
          <w:rFonts w:hint="eastAsia" w:ascii="Times New Roman" w:hAnsi="Times New Roman" w:eastAsia="仿宋_GB2312"/>
          <w:sz w:val="32"/>
          <w:szCs w:val="32"/>
        </w:rPr>
        <w:t>23945.59</w:t>
      </w:r>
      <w:r>
        <w:rPr>
          <w:rFonts w:hint="eastAsia" w:ascii="Times New Roman" w:hAnsi="Times New Roman" w:eastAsia="仿宋_GB2312"/>
          <w:sz w:val="11"/>
          <w:szCs w:val="11"/>
        </w:rPr>
        <w:t xml:space="preserve"> </w:t>
      </w:r>
      <w:bookmarkEnd w:id="82"/>
      <w:r>
        <w:rPr>
          <w:rFonts w:hint="eastAsia" w:ascii="Times New Roman" w:hAnsi="Times New Roman" w:eastAsia="仿宋_GB2312"/>
          <w:sz w:val="32"/>
          <w:szCs w:val="32"/>
        </w:rPr>
        <w:t>万元，其中：</w:t>
      </w:r>
    </w:p>
    <w:p w14:paraId="5E58524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基本支出</w:t>
      </w:r>
      <w:bookmarkStart w:id="83" w:name="PO_part2A2Amount3"/>
      <w:r>
        <w:rPr>
          <w:rFonts w:hint="eastAsia" w:ascii="Times New Roman" w:hAnsi="Times New Roman" w:eastAsia="仿宋_GB2312"/>
          <w:sz w:val="32"/>
          <w:szCs w:val="32"/>
        </w:rPr>
        <w:t>3905.01</w:t>
      </w:r>
      <w:r>
        <w:rPr>
          <w:rFonts w:hint="eastAsia" w:ascii="Times New Roman" w:hAnsi="Times New Roman" w:eastAsia="仿宋_GB2312"/>
          <w:sz w:val="11"/>
          <w:szCs w:val="11"/>
        </w:rPr>
        <w:t xml:space="preserve"> </w:t>
      </w:r>
      <w:bookmarkEnd w:id="83"/>
      <w:r>
        <w:rPr>
          <w:rFonts w:hint="eastAsia" w:ascii="Times New Roman" w:hAnsi="Times New Roman" w:eastAsia="仿宋_GB2312"/>
          <w:sz w:val="32"/>
          <w:szCs w:val="32"/>
        </w:rPr>
        <w:t>万元，占</w:t>
      </w:r>
      <w:bookmarkStart w:id="84" w:name="PO_part2A2Amount4"/>
      <w:r>
        <w:rPr>
          <w:rFonts w:hint="eastAsia" w:ascii="Times New Roman" w:hAnsi="Times New Roman" w:eastAsia="仿宋_GB2312"/>
          <w:sz w:val="32"/>
          <w:szCs w:val="32"/>
        </w:rPr>
        <w:t>16.31</w:t>
      </w:r>
      <w:r>
        <w:rPr>
          <w:rFonts w:hint="eastAsia" w:ascii="Times New Roman" w:hAnsi="Times New Roman" w:eastAsia="仿宋_GB2312"/>
          <w:sz w:val="11"/>
          <w:szCs w:val="11"/>
        </w:rPr>
        <w:t xml:space="preserve"> </w:t>
      </w:r>
      <w:bookmarkEnd w:id="84"/>
      <w:r>
        <w:rPr>
          <w:rFonts w:hint="eastAsia" w:ascii="Times New Roman" w:hAnsi="Times New Roman" w:eastAsia="仿宋_GB2312"/>
          <w:sz w:val="32"/>
          <w:szCs w:val="32"/>
        </w:rPr>
        <w:t>%；</w:t>
      </w:r>
    </w:p>
    <w:p w14:paraId="11401DE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项目支出</w:t>
      </w:r>
      <w:bookmarkStart w:id="85" w:name="PO_part2A2Amount5"/>
      <w:r>
        <w:rPr>
          <w:rFonts w:hint="eastAsia" w:ascii="Times New Roman" w:hAnsi="Times New Roman" w:eastAsia="仿宋_GB2312"/>
          <w:sz w:val="32"/>
          <w:szCs w:val="32"/>
        </w:rPr>
        <w:t>3483.06</w:t>
      </w:r>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万元，占</w:t>
      </w:r>
      <w:bookmarkStart w:id="86" w:name="PO_part2A2Amount6"/>
      <w:r>
        <w:rPr>
          <w:rFonts w:hint="eastAsia" w:ascii="Times New Roman" w:hAnsi="Times New Roman" w:eastAsia="仿宋_GB2312"/>
          <w:sz w:val="32"/>
          <w:szCs w:val="32"/>
        </w:rPr>
        <w:t>14.55</w:t>
      </w:r>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w:t>
      </w:r>
    </w:p>
    <w:p w14:paraId="56F767F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事业单位经营支出</w:t>
      </w:r>
      <w:bookmarkStart w:id="87" w:name="PO_part2A2Amount7"/>
      <w:r>
        <w:rPr>
          <w:rFonts w:hint="eastAsia" w:ascii="Times New Roman" w:hAnsi="Times New Roman" w:eastAsia="仿宋_GB2312"/>
          <w:sz w:val="32"/>
          <w:szCs w:val="32"/>
        </w:rPr>
        <w:t>16557.52</w:t>
      </w:r>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万元，占</w:t>
      </w:r>
      <w:bookmarkStart w:id="88" w:name="PO_part2A2Amount8"/>
      <w:r>
        <w:rPr>
          <w:rFonts w:hint="eastAsia" w:ascii="Times New Roman" w:hAnsi="Times New Roman" w:eastAsia="仿宋_GB2312"/>
          <w:sz w:val="32"/>
          <w:szCs w:val="32"/>
        </w:rPr>
        <w:t>69.15</w:t>
      </w:r>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w:t>
      </w:r>
    </w:p>
    <w:p w14:paraId="6BCC6CB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上缴上级支出</w:t>
      </w:r>
      <w:bookmarkStart w:id="89" w:name="PO_part2A2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万元，占</w:t>
      </w:r>
      <w:bookmarkStart w:id="90" w:name="PO_part2A2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w:t>
      </w:r>
    </w:p>
    <w:p w14:paraId="4214645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宋体"/>
        </w:rPr>
      </w:pPr>
      <w:r>
        <w:rPr>
          <w:rFonts w:hint="eastAsia" w:ascii="Times New Roman" w:hAnsi="Times New Roman" w:eastAsia="仿宋_GB2312"/>
          <w:sz w:val="32"/>
          <w:szCs w:val="32"/>
        </w:rPr>
        <w:t>对附属单位补助支出</w:t>
      </w:r>
      <w:bookmarkStart w:id="91" w:name="PO_part2A2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1"/>
      <w:r>
        <w:rPr>
          <w:rFonts w:hint="eastAsia" w:ascii="Times New Roman" w:hAnsi="Times New Roman" w:eastAsia="仿宋_GB2312"/>
          <w:sz w:val="32"/>
          <w:szCs w:val="32"/>
        </w:rPr>
        <w:t>万元，占</w:t>
      </w:r>
      <w:bookmarkStart w:id="92" w:name="PO_part2A2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rPr>
        <w:t>%。</w:t>
      </w:r>
    </w:p>
    <w:p w14:paraId="7F0904BE">
      <w:pPr>
        <w:pStyle w:val="6"/>
        <w:spacing w:line="248" w:lineRule="auto"/>
      </w:pPr>
    </w:p>
    <w:p w14:paraId="5F0CAEC1">
      <w:pPr>
        <w:spacing w:before="102" w:line="222" w:lineRule="auto"/>
        <w:jc w:val="center"/>
        <w:rPr>
          <w:rFonts w:hint="eastAsia"/>
        </w:rPr>
      </w:pPr>
      <w:bookmarkStart w:id="93" w:name="PO_part2A2Table1"/>
      <w:r>
        <w:rPr>
          <w:rFonts w:hint="eastAsia"/>
        </w:rPr>
        <w:drawing>
          <wp:inline distT="0" distB="0" distL="114300" distR="114300">
            <wp:extent cx="4772025" cy="3302000"/>
            <wp:effectExtent l="4445" t="4445" r="1143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EE74B2">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pPr>
      <w:r>
        <w:rPr>
          <w:rFonts w:hint="eastAsia" w:ascii="仿宋_GB2312" w:hAnsi="仿宋_GB2312" w:eastAsia="仿宋_GB2312" w:cs="仿宋_GB2312"/>
          <w:spacing w:val="3"/>
          <w:sz w:val="28"/>
          <w:szCs w:val="28"/>
          <w:lang w:val="en-US" w:eastAsia="zh-CN"/>
        </w:rPr>
        <w:t>图2.支出预算图</w:t>
      </w:r>
      <w:r>
        <w:rPr>
          <w:rFonts w:hint="eastAsia"/>
        </w:rPr>
        <w:t xml:space="preserve"> </w:t>
      </w:r>
      <w:bookmarkEnd w:id="93"/>
    </w:p>
    <w:p w14:paraId="7EA54C04">
      <w:pPr>
        <w:spacing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四、财政拨款收支预算总体情况说明</w:t>
      </w:r>
    </w:p>
    <w:p w14:paraId="43EAB338">
      <w:pPr>
        <w:spacing w:line="600" w:lineRule="exact"/>
        <w:ind w:firstLine="640" w:firstLineChars="200"/>
        <w:rPr>
          <w:rFonts w:ascii="Times New Roman" w:hAnsi="Times New Roman" w:eastAsia="仿宋_GB2312"/>
          <w:sz w:val="32"/>
          <w:szCs w:val="32"/>
        </w:rPr>
      </w:pPr>
      <w:bookmarkStart w:id="94" w:name="PO_part2A3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94"/>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年度财政拨款收入总计</w:t>
      </w:r>
      <w:bookmarkStart w:id="95" w:name="PO_part2A3Amount2"/>
      <w:r>
        <w:rPr>
          <w:rFonts w:hint="eastAsia" w:ascii="Times New Roman" w:hAnsi="Times New Roman" w:eastAsia="仿宋_GB2312"/>
          <w:sz w:val="32"/>
          <w:szCs w:val="32"/>
        </w:rPr>
        <w:t>7388.07</w:t>
      </w:r>
      <w:r>
        <w:rPr>
          <w:rFonts w:hint="eastAsia" w:ascii="Times New Roman" w:hAnsi="Times New Roman" w:eastAsia="仿宋_GB2312"/>
          <w:sz w:val="11"/>
          <w:szCs w:val="11"/>
        </w:rPr>
        <w:t xml:space="preserve"> </w:t>
      </w:r>
      <w:bookmarkEnd w:id="95"/>
      <w:r>
        <w:rPr>
          <w:rFonts w:hint="eastAsia" w:ascii="Times New Roman" w:hAnsi="Times New Roman" w:eastAsia="仿宋_GB2312"/>
          <w:sz w:val="32"/>
          <w:szCs w:val="32"/>
        </w:rPr>
        <w:t>万元。与上年相比，财政拨款收入总计</w:t>
      </w:r>
      <w:bookmarkStart w:id="96" w:name="PO_part2A3Reason1"/>
      <w:r>
        <w:rPr>
          <w:rFonts w:hint="eastAsia" w:ascii="Times New Roman" w:hAnsi="Times New Roman" w:eastAsia="仿宋_GB2312"/>
          <w:sz w:val="32"/>
          <w:szCs w:val="32"/>
        </w:rPr>
        <w:t>减少164.52万元，下降2.18%</w:t>
      </w:r>
      <w:r>
        <w:rPr>
          <w:rFonts w:hint="eastAsia" w:ascii="Times New Roman" w:hAnsi="Times New Roman" w:eastAsia="仿宋_GB2312"/>
          <w:sz w:val="11"/>
          <w:szCs w:val="11"/>
        </w:rPr>
        <w:t xml:space="preserve"> </w:t>
      </w:r>
      <w:bookmarkEnd w:id="96"/>
      <w:r>
        <w:rPr>
          <w:rFonts w:hint="eastAsia" w:ascii="Times New Roman" w:hAnsi="Times New Roman" w:eastAsia="仿宋_GB2312"/>
          <w:sz w:val="32"/>
          <w:szCs w:val="32"/>
        </w:rPr>
        <w:t>，主要原因是：</w:t>
      </w:r>
      <w:bookmarkStart w:id="97" w:name="PO_part2A3Reason2"/>
      <w:r>
        <w:rPr>
          <w:rFonts w:hint="eastAsia" w:ascii="Times New Roman" w:hAnsi="Times New Roman" w:eastAsia="仿宋_GB2312"/>
          <w:sz w:val="32"/>
          <w:szCs w:val="32"/>
          <w:lang w:val="en-US" w:eastAsia="zh-CN"/>
        </w:rPr>
        <w:t>我院本年度财政拨款预算收入增减少</w:t>
      </w:r>
      <w:r>
        <w:rPr>
          <w:rFonts w:hint="eastAsia" w:ascii="Times New Roman" w:hAnsi="Times New Roman" w:eastAsia="仿宋_GB2312"/>
          <w:sz w:val="11"/>
          <w:szCs w:val="11"/>
        </w:rPr>
        <w:t xml:space="preserve"> </w:t>
      </w:r>
      <w:bookmarkEnd w:id="97"/>
      <w:r>
        <w:rPr>
          <w:rFonts w:hint="eastAsia" w:ascii="Times New Roman" w:hAnsi="Times New Roman" w:eastAsia="仿宋_GB2312"/>
          <w:sz w:val="32"/>
          <w:szCs w:val="32"/>
        </w:rPr>
        <w:t>；财政拨款支出总计</w:t>
      </w:r>
      <w:bookmarkStart w:id="98" w:name="PO_part2A3Amount3"/>
      <w:r>
        <w:rPr>
          <w:rFonts w:hint="eastAsia" w:ascii="Times New Roman" w:hAnsi="Times New Roman" w:eastAsia="仿宋_GB2312"/>
          <w:sz w:val="32"/>
          <w:szCs w:val="32"/>
        </w:rPr>
        <w:t>7388.07</w:t>
      </w:r>
      <w:r>
        <w:rPr>
          <w:rFonts w:hint="eastAsia" w:ascii="仿宋" w:hAnsi="仿宋" w:eastAsia="仿宋" w:cs="仿宋"/>
          <w:sz w:val="11"/>
          <w:szCs w:val="11"/>
        </w:rPr>
        <w:t xml:space="preserve"> </w:t>
      </w:r>
      <w:bookmarkEnd w:id="98"/>
      <w:r>
        <w:rPr>
          <w:rFonts w:hint="eastAsia" w:ascii="Times New Roman" w:hAnsi="Times New Roman" w:eastAsia="仿宋_GB2312"/>
          <w:sz w:val="32"/>
          <w:szCs w:val="32"/>
        </w:rPr>
        <w:t>万元，财政拨款支出总计</w:t>
      </w:r>
      <w:bookmarkStart w:id="99" w:name="PO_part2A3Reason3"/>
      <w:r>
        <w:rPr>
          <w:rFonts w:hint="eastAsia" w:ascii="Times New Roman" w:hAnsi="Times New Roman" w:eastAsia="仿宋_GB2312"/>
          <w:sz w:val="32"/>
          <w:szCs w:val="32"/>
        </w:rPr>
        <w:t>减少164.52万元，下降2.18%</w:t>
      </w:r>
      <w:r>
        <w:rPr>
          <w:rFonts w:hint="eastAsia" w:ascii="仿宋" w:hAnsi="仿宋" w:eastAsia="仿宋" w:cs="仿宋"/>
          <w:sz w:val="11"/>
          <w:szCs w:val="11"/>
        </w:rPr>
        <w:t xml:space="preserve"> </w:t>
      </w:r>
      <w:bookmarkEnd w:id="99"/>
      <w:r>
        <w:rPr>
          <w:rFonts w:hint="eastAsia" w:ascii="Times New Roman" w:hAnsi="Times New Roman" w:eastAsia="仿宋_GB2312"/>
          <w:sz w:val="32"/>
          <w:szCs w:val="32"/>
        </w:rPr>
        <w:t>，主要原因是：</w:t>
      </w:r>
      <w:bookmarkStart w:id="100" w:name="PO_part2A3Reason4"/>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年用经营资金弥补经费</w:t>
      </w:r>
      <w:r>
        <w:rPr>
          <w:rFonts w:hint="eastAsia" w:ascii="Times New Roman" w:hAnsi="Times New Roman" w:eastAsia="仿宋_GB2312"/>
          <w:sz w:val="32"/>
          <w:szCs w:val="32"/>
          <w:lang w:val="en-US" w:eastAsia="zh-CN"/>
        </w:rPr>
        <w:t>预算增加</w:t>
      </w:r>
      <w:r>
        <w:rPr>
          <w:rFonts w:hint="eastAsia" w:ascii="仿宋" w:hAnsi="仿宋" w:eastAsia="仿宋" w:cs="仿宋"/>
          <w:sz w:val="11"/>
          <w:szCs w:val="11"/>
        </w:rPr>
        <w:t xml:space="preserve"> </w:t>
      </w:r>
      <w:bookmarkEnd w:id="100"/>
      <w:r>
        <w:rPr>
          <w:rFonts w:hint="eastAsia" w:ascii="Times New Roman" w:hAnsi="Times New Roman" w:eastAsia="仿宋_GB2312"/>
          <w:sz w:val="32"/>
          <w:szCs w:val="32"/>
        </w:rPr>
        <w:t>。</w:t>
      </w:r>
    </w:p>
    <w:p w14:paraId="54ABEDA4">
      <w:pPr>
        <w:spacing w:after="156" w:afterLines="50"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2E7302FC">
      <w:pPr>
        <w:spacing w:line="600" w:lineRule="exact"/>
        <w:ind w:firstLine="640" w:firstLineChars="200"/>
        <w:rPr>
          <w:rFonts w:ascii="Times New Roman" w:hAnsi="Times New Roman" w:eastAsia="仿宋_GB2312"/>
          <w:sz w:val="32"/>
          <w:szCs w:val="32"/>
        </w:rPr>
      </w:pPr>
      <w:bookmarkStart w:id="101" w:name="PO_part2A4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101"/>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年度一般公共预算财政拨款支出预算</w:t>
      </w:r>
      <w:bookmarkStart w:id="102" w:name="PO_part2A4Amount2"/>
      <w:r>
        <w:rPr>
          <w:rFonts w:hint="eastAsia" w:ascii="Times New Roman" w:hAnsi="Times New Roman" w:eastAsia="仿宋_GB2312"/>
          <w:sz w:val="32"/>
          <w:szCs w:val="32"/>
        </w:rPr>
        <w:t>7388.07</w:t>
      </w:r>
      <w:r>
        <w:rPr>
          <w:rFonts w:hint="eastAsia" w:ascii="Times New Roman" w:hAnsi="Times New Roman" w:eastAsia="仿宋_GB2312"/>
          <w:sz w:val="11"/>
          <w:szCs w:val="11"/>
        </w:rPr>
        <w:t xml:space="preserve"> </w:t>
      </w:r>
      <w:bookmarkEnd w:id="102"/>
      <w:r>
        <w:rPr>
          <w:rFonts w:hint="eastAsia" w:ascii="Times New Roman" w:hAnsi="Times New Roman" w:eastAsia="仿宋_GB2312"/>
          <w:sz w:val="32"/>
          <w:szCs w:val="32"/>
        </w:rPr>
        <w:t>万元，</w:t>
      </w:r>
      <w:bookmarkStart w:id="103" w:name="PO_part2A4Reason1"/>
      <w:r>
        <w:rPr>
          <w:rFonts w:hint="eastAsia" w:ascii="Times New Roman" w:hAnsi="Times New Roman" w:eastAsia="仿宋_GB2312"/>
          <w:sz w:val="32"/>
          <w:szCs w:val="32"/>
        </w:rPr>
        <w:t>比上年度减少164.52万元，下降2.18%</w:t>
      </w:r>
      <w:r>
        <w:rPr>
          <w:rFonts w:hint="eastAsia" w:ascii="Times New Roman" w:hAnsi="Times New Roman" w:eastAsia="仿宋_GB2312"/>
          <w:sz w:val="11"/>
          <w:szCs w:val="11"/>
        </w:rPr>
        <w:t xml:space="preserve"> </w:t>
      </w:r>
      <w:bookmarkEnd w:id="103"/>
      <w:r>
        <w:rPr>
          <w:rFonts w:hint="eastAsia" w:ascii="Times New Roman" w:hAnsi="Times New Roman" w:eastAsia="仿宋_GB2312"/>
          <w:sz w:val="32"/>
          <w:szCs w:val="32"/>
        </w:rPr>
        <w:t>，主要原因是：</w:t>
      </w:r>
      <w:bookmarkStart w:id="104" w:name="PO_part2A4Amount4"/>
      <w:r>
        <w:rPr>
          <w:rFonts w:hint="eastAsia" w:ascii="Times New Roman" w:hAnsi="Times New Roman" w:eastAsia="仿宋_GB2312"/>
          <w:sz w:val="32"/>
          <w:szCs w:val="32"/>
          <w:lang w:val="en-US" w:eastAsia="zh-CN"/>
        </w:rPr>
        <w:t>我院</w:t>
      </w:r>
      <w:r>
        <w:rPr>
          <w:rFonts w:hint="eastAsia" w:ascii="Times New Roman" w:hAnsi="Times New Roman" w:eastAsia="仿宋_GB2312"/>
          <w:sz w:val="32"/>
          <w:szCs w:val="32"/>
        </w:rPr>
        <w:t>一般公共预算财政拨款支出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11"/>
          <w:szCs w:val="11"/>
        </w:rPr>
        <w:t xml:space="preserve"> </w:t>
      </w:r>
      <w:bookmarkEnd w:id="104"/>
      <w:r>
        <w:rPr>
          <w:rFonts w:hint="eastAsia" w:ascii="Times New Roman" w:hAnsi="Times New Roman" w:eastAsia="仿宋_GB2312"/>
          <w:sz w:val="32"/>
          <w:szCs w:val="32"/>
        </w:rPr>
        <w:t>。具体情况如下：</w:t>
      </w:r>
    </w:p>
    <w:p w14:paraId="10D29F1E">
      <w:pPr>
        <w:spacing w:line="600" w:lineRule="exact"/>
        <w:ind w:firstLine="640" w:firstLineChars="200"/>
        <w:rPr>
          <w:rFonts w:hint="eastAsia" w:ascii="仿宋" w:hAnsi="仿宋" w:eastAsia="仿宋" w:cs="仿宋"/>
          <w:spacing w:val="-13"/>
          <w:sz w:val="31"/>
          <w:szCs w:val="31"/>
        </w:rPr>
      </w:pPr>
      <w:bookmarkStart w:id="105" w:name="PO_part2A4Amount3"/>
      <w:r>
        <w:rPr>
          <w:rFonts w:hint="eastAsia" w:ascii="Times New Roman" w:hAnsi="Times New Roman" w:eastAsia="仿宋_GB2312"/>
          <w:sz w:val="32"/>
          <w:szCs w:val="32"/>
        </w:rPr>
        <w:t>（一）一般公共服务（类）</w:t>
      </w:r>
      <w:r>
        <w:rPr>
          <w:rFonts w:hint="eastAsia" w:ascii="Times New Roman" w:hAnsi="Times New Roman" w:eastAsia="仿宋_GB2312"/>
          <w:sz w:val="32"/>
          <w:szCs w:val="32"/>
        </w:rPr>
        <w:cr/>
      </w:r>
      <w:r>
        <w:rPr>
          <w:rFonts w:hint="eastAsia" w:ascii="Times New Roman" w:hAnsi="Times New Roman" w:eastAsia="仿宋_GB2312"/>
          <w:sz w:val="32"/>
          <w:szCs w:val="32"/>
        </w:rPr>
        <w:t>
一般公共服务类年初预算数为6814.51万元，与上年度相比减少134.64万元。其中：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1.市场监督管理事务（款）质量安全监管（项）。年初预算2997.00万元，与上年度相比减少62万元，下降2.03%，变动原因：202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部分预算</w:t>
      </w:r>
      <w:r>
        <w:rPr>
          <w:rFonts w:hint="eastAsia" w:ascii="Times New Roman" w:hAnsi="Times New Roman" w:eastAsia="仿宋_GB2312"/>
          <w:sz w:val="32"/>
          <w:szCs w:val="32"/>
        </w:rPr>
        <w:t>用经营资金弥补。</w:t>
      </w:r>
      <w:r>
        <w:rPr>
          <w:rFonts w:hint="eastAsia" w:ascii="Times New Roman" w:hAnsi="Times New Roman" w:eastAsia="仿宋_GB2312"/>
          <w:sz w:val="32"/>
          <w:szCs w:val="32"/>
        </w:rPr>
        <w:cr/>
      </w:r>
      <w:r>
        <w:rPr>
          <w:rFonts w:hint="eastAsia" w:ascii="Times New Roman" w:hAnsi="Times New Roman" w:eastAsia="仿宋_GB2312"/>
          <w:sz w:val="32"/>
          <w:szCs w:val="32"/>
        </w:rPr>
        <w:t>
2.市场监督管理事务（款）事业运行（项）。年初预算3558.51万元，与上年度相比减少331.64万元，下降8.53%，变动原因：202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部分预算</w:t>
      </w:r>
      <w:r>
        <w:rPr>
          <w:rFonts w:hint="eastAsia" w:ascii="Times New Roman" w:hAnsi="Times New Roman" w:eastAsia="仿宋_GB2312"/>
          <w:sz w:val="32"/>
          <w:szCs w:val="32"/>
        </w:rPr>
        <w:t>用经营资金弥补</w:t>
      </w:r>
      <w:r>
        <w:rPr>
          <w:rFonts w:hint="eastAsia" w:ascii="Times New Roman" w:hAnsi="Times New Roman" w:eastAsia="仿宋_GB2312"/>
          <w:sz w:val="32"/>
          <w:szCs w:val="32"/>
        </w:rPr>
        <w:cr/>
      </w:r>
      <w:r>
        <w:rPr>
          <w:rFonts w:hint="eastAsia" w:ascii="Times New Roman" w:hAnsi="Times New Roman" w:eastAsia="仿宋_GB2312"/>
          <w:sz w:val="32"/>
          <w:szCs w:val="32"/>
        </w:rPr>
        <w:t>
3.市场监督管理事务（款）其他市场监督管理事务（项）。年初预算259.00万元，上年度无预算安排，无法比较，变动原因：</w:t>
      </w:r>
      <w:r>
        <w:rPr>
          <w:rFonts w:hint="eastAsia" w:ascii="Times New Roman" w:hAnsi="Times New Roman" w:eastAsia="仿宋_GB2312"/>
          <w:sz w:val="32"/>
          <w:szCs w:val="32"/>
          <w:lang w:val="en-US" w:eastAsia="zh-CN"/>
        </w:rPr>
        <w:t>无变动原因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（二）科学技术（类）</w:t>
      </w:r>
      <w:r>
        <w:rPr>
          <w:rFonts w:hint="eastAsia" w:ascii="Times New Roman" w:hAnsi="Times New Roman" w:eastAsia="仿宋_GB2312"/>
          <w:sz w:val="32"/>
          <w:szCs w:val="32"/>
        </w:rPr>
        <w:cr/>
      </w:r>
      <w:r>
        <w:rPr>
          <w:rFonts w:hint="eastAsia" w:ascii="Times New Roman" w:hAnsi="Times New Roman" w:eastAsia="仿宋_GB2312"/>
          <w:sz w:val="32"/>
          <w:szCs w:val="32"/>
        </w:rPr>
        <w:t>
科学技术类年初预算数为227.06万元，与上年度相比增加43.88万元。其中：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1.应用研究（款）其他应用研究支出（项）。年初预算3.18万元，与上年度相比，无增减变动，变动原因：</w:t>
      </w:r>
      <w:r>
        <w:rPr>
          <w:rFonts w:hint="eastAsia" w:ascii="Times New Roman" w:hAnsi="Times New Roman" w:eastAsia="仿宋_GB2312"/>
          <w:sz w:val="32"/>
          <w:szCs w:val="32"/>
          <w:lang w:val="en-US" w:eastAsia="zh-CN"/>
        </w:rPr>
        <w:t>无变动原因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2.技术研究与开发（款）科技成果转化与扩散（项）。年初预算51.66万元，上年度无预算安排，无法比较，变动原因：</w:t>
      </w:r>
      <w:r>
        <w:rPr>
          <w:rFonts w:hint="eastAsia" w:ascii="Times New Roman" w:hAnsi="Times New Roman" w:eastAsia="仿宋_GB2312"/>
          <w:sz w:val="32"/>
          <w:szCs w:val="32"/>
          <w:lang w:val="en-US" w:eastAsia="zh-CN"/>
        </w:rPr>
        <w:t>无变动原因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3.科技条件与服务（款）科技条件专项（项）。年初预算172.22万元，与上年度相比减少7.78万元，下降4.32%，变动原因：：202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该项目即将完结，支出减少</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（三）社会保障和就业（类）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
社会保障和就业类年初预算数为220.50万元，与上年度相比减少74.75万元。其中：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1.行政事业单位养老支出（款）事业单位离退休（项）。年初预算105.50万元，与上年相比增加0.25万元，增长0.24%，变动原因：</w:t>
      </w:r>
      <w:r>
        <w:rPr>
          <w:rFonts w:hint="eastAsia" w:ascii="Times New Roman" w:hAnsi="Times New Roman" w:eastAsia="仿宋_GB2312"/>
          <w:sz w:val="32"/>
          <w:szCs w:val="32"/>
          <w:lang w:val="en-US" w:eastAsia="zh-CN"/>
        </w:rPr>
        <w:t>2026年养老退休金核定基数增加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2.行政事业单位养老支出（款）机关事业单位基本养老保险缴费支出（项）。年初预算80.00万元，与上年相比增加20.00万元，增长33.33%，变动原因：</w:t>
      </w:r>
      <w:r>
        <w:rPr>
          <w:rFonts w:hint="eastAsia" w:ascii="Times New Roman" w:hAnsi="Times New Roman" w:eastAsia="仿宋_GB2312"/>
          <w:sz w:val="32"/>
          <w:szCs w:val="32"/>
          <w:lang w:val="en-US" w:eastAsia="zh-CN"/>
        </w:rPr>
        <w:t>因为2026年养老保险核定基数增加所以预算数增加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3.行政事业单位养老支出（款）机关事业单位职业年金缴费支出（项）。年初预算35.00万元，与上年相比增加5.00万元，增长16.67%，变动原因：</w:t>
      </w:r>
      <w:r>
        <w:rPr>
          <w:rFonts w:hint="eastAsia" w:ascii="Times New Roman" w:hAnsi="Times New Roman" w:eastAsia="仿宋_GB2312"/>
          <w:sz w:val="32"/>
          <w:szCs w:val="32"/>
          <w:lang w:val="en-US" w:eastAsia="zh-CN"/>
        </w:rPr>
        <w:t>因为2026年职业年金核定基数增加所以预算数增加。</w:t>
      </w:r>
      <w:r>
        <w:rPr>
          <w:rFonts w:hint="eastAsia" w:ascii="Times New Roman" w:hAnsi="Times New Roman" w:eastAsia="仿宋_GB2312"/>
          <w:sz w:val="32"/>
          <w:szCs w:val="32"/>
        </w:rPr>
        <w:cr/>
      </w:r>
      <w:r>
        <w:rPr>
          <w:rFonts w:hint="eastAsia" w:ascii="Times New Roman" w:hAnsi="Times New Roman" w:eastAsia="仿宋_GB2312"/>
          <w:sz w:val="32"/>
          <w:szCs w:val="32"/>
        </w:rPr>
        <w:t>
4.就业补助（款）高技能人才培养补助（项）。年初预算0.00万元，与上年度相比减少100万元，下降100.00%，变动原因：</w:t>
      </w:r>
      <w:r>
        <w:rPr>
          <w:rFonts w:hint="eastAsia" w:ascii="Times New Roman" w:hAnsi="Times New Roman" w:eastAsia="仿宋_GB2312"/>
          <w:sz w:val="32"/>
          <w:szCs w:val="32"/>
          <w:lang w:val="en-US" w:eastAsia="zh-CN"/>
        </w:rPr>
        <w:t>2026年项目已完结</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（四）卫生健康（类）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
卫生健康类年初预算数为56.00万元，与上年度相比无增减变动。其中：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1.行政事业单位医疗（款）事业单位医疗（项）。年初预算36.00万元，与上年度相比，无增减变动，变动原因：</w:t>
      </w:r>
      <w:r>
        <w:rPr>
          <w:rFonts w:hint="eastAsia" w:ascii="Times New Roman" w:hAnsi="Times New Roman" w:eastAsia="仿宋_GB2312"/>
          <w:sz w:val="32"/>
          <w:szCs w:val="32"/>
          <w:lang w:val="en-US" w:eastAsia="zh-CN"/>
        </w:rPr>
        <w:t>无变动原因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2.行政事业单位医疗（款）公务员医疗补助（项）。年初预算20.00万元，与上年度相比，无增减变动，变动原因：</w:t>
      </w:r>
      <w:r>
        <w:rPr>
          <w:rFonts w:hint="eastAsia" w:ascii="Times New Roman" w:hAnsi="Times New Roman" w:eastAsia="仿宋_GB2312"/>
          <w:sz w:val="32"/>
          <w:szCs w:val="32"/>
          <w:lang w:val="en-US" w:eastAsia="zh-CN"/>
        </w:rPr>
        <w:t>无变动原因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（五）住房保障（类）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
住房保障类年初预算数为70.00万元，与上年度相比增加1.00万元。其中：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1.住房改革支出（款）住房公积金（项）。年初预算70.00万元，与上年相比增加1.00万元，增长1.45%，变动原因：</w:t>
      </w:r>
      <w:r>
        <w:rPr>
          <w:rFonts w:hint="eastAsia" w:ascii="Times New Roman" w:hAnsi="Times New Roman" w:eastAsia="仿宋_GB2312"/>
          <w:sz w:val="32"/>
          <w:szCs w:val="32"/>
          <w:lang w:val="en-US" w:eastAsia="zh-CN"/>
        </w:rPr>
        <w:t>2026年住房公积金核定基数增加</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105"/>
    </w:p>
    <w:p w14:paraId="708B79AD">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5CB9FA60">
      <w:pPr>
        <w:spacing w:line="600" w:lineRule="exact"/>
        <w:ind w:firstLine="640" w:firstLineChars="200"/>
        <w:rPr>
          <w:rFonts w:ascii="Times New Roman" w:hAnsi="Times New Roman" w:eastAsia="仿宋_GB2312"/>
          <w:spacing w:val="0"/>
          <w:sz w:val="32"/>
          <w:szCs w:val="32"/>
        </w:rPr>
      </w:pPr>
      <w:bookmarkStart w:id="106" w:name="PO_part2A5Amount1"/>
      <w:r>
        <w:rPr>
          <w:rFonts w:hint="eastAsia" w:ascii="Times New Roman" w:hAnsi="Times New Roman" w:eastAsia="仿宋_GB2312"/>
          <w:spacing w:val="0"/>
          <w:sz w:val="32"/>
          <w:szCs w:val="32"/>
        </w:rPr>
        <w:t>内蒙古自治区特种设备检验研究院</w:t>
      </w:r>
      <w:r>
        <w:rPr>
          <w:rFonts w:hint="eastAsia" w:ascii="Times New Roman" w:hAnsi="Times New Roman" w:eastAsia="仿宋_GB2312"/>
          <w:spacing w:val="0"/>
          <w:sz w:val="11"/>
          <w:szCs w:val="11"/>
        </w:rPr>
        <w:t xml:space="preserve"> </w:t>
      </w:r>
      <w:bookmarkEnd w:id="106"/>
      <w:r>
        <w:rPr>
          <w:rFonts w:hint="eastAsia" w:ascii="Times New Roman" w:hAnsi="Times New Roman" w:eastAsia="仿宋_GB2312"/>
          <w:spacing w:val="0"/>
          <w:sz w:val="32"/>
          <w:szCs w:val="32"/>
          <w:lang w:eastAsia="zh-CN"/>
        </w:rPr>
        <w:t>2026</w:t>
      </w:r>
      <w:r>
        <w:rPr>
          <w:rFonts w:hint="eastAsia" w:ascii="Times New Roman" w:hAnsi="Times New Roman" w:eastAsia="仿宋_GB2312"/>
          <w:spacing w:val="0"/>
          <w:sz w:val="32"/>
          <w:szCs w:val="32"/>
        </w:rPr>
        <w:t>年度一般公共预算财政拨款基本支出预算</w:t>
      </w:r>
      <w:bookmarkStart w:id="107" w:name="PO_part2A5Amount4"/>
      <w:r>
        <w:rPr>
          <w:rFonts w:hint="eastAsia" w:ascii="Times New Roman" w:hAnsi="Times New Roman" w:eastAsia="仿宋_GB2312"/>
          <w:spacing w:val="0"/>
          <w:sz w:val="32"/>
          <w:szCs w:val="32"/>
        </w:rPr>
        <w:t>3905.01</w:t>
      </w:r>
      <w:r>
        <w:rPr>
          <w:rFonts w:hint="eastAsia" w:ascii="Times New Roman" w:hAnsi="Times New Roman" w:eastAsia="仿宋_GB2312"/>
          <w:spacing w:val="0"/>
          <w:sz w:val="11"/>
          <w:szCs w:val="11"/>
        </w:rPr>
        <w:t xml:space="preserve"> </w:t>
      </w:r>
      <w:bookmarkEnd w:id="107"/>
      <w:r>
        <w:rPr>
          <w:rFonts w:hint="eastAsia" w:ascii="Times New Roman" w:hAnsi="Times New Roman" w:eastAsia="仿宋_GB2312"/>
          <w:spacing w:val="0"/>
          <w:sz w:val="32"/>
          <w:szCs w:val="32"/>
        </w:rPr>
        <w:t>万元，与上年相比</w:t>
      </w:r>
      <w:bookmarkStart w:id="108" w:name="PO_part2A5Amount5"/>
      <w:r>
        <w:rPr>
          <w:rFonts w:hint="eastAsia" w:ascii="Times New Roman" w:hAnsi="Times New Roman" w:eastAsia="仿宋_GB2312"/>
          <w:spacing w:val="0"/>
          <w:sz w:val="32"/>
          <w:szCs w:val="32"/>
        </w:rPr>
        <w:t>增加40.61万元，增长1.05%</w:t>
      </w:r>
      <w:r>
        <w:rPr>
          <w:rFonts w:hint="eastAsia" w:ascii="Times New Roman" w:hAnsi="Times New Roman" w:eastAsia="仿宋_GB2312"/>
          <w:spacing w:val="0"/>
          <w:sz w:val="11"/>
          <w:szCs w:val="11"/>
        </w:rPr>
        <w:t xml:space="preserve"> </w:t>
      </w:r>
      <w:bookmarkEnd w:id="108"/>
      <w:r>
        <w:rPr>
          <w:rFonts w:hint="eastAsia" w:ascii="Times New Roman" w:hAnsi="Times New Roman" w:eastAsia="仿宋_GB2312"/>
          <w:spacing w:val="0"/>
          <w:sz w:val="32"/>
          <w:szCs w:val="32"/>
        </w:rPr>
        <w:t>，其中：</w:t>
      </w:r>
    </w:p>
    <w:p w14:paraId="014D1754">
      <w:pPr>
        <w:spacing w:line="600" w:lineRule="exact"/>
        <w:ind w:firstLine="640" w:firstLineChars="200"/>
        <w:rPr>
          <w:rFonts w:hint="eastAsia" w:ascii="仿宋" w:hAnsi="仿宋" w:eastAsia="仿宋" w:cs="仿宋"/>
          <w:spacing w:val="0"/>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（一）人员经费</w:t>
      </w:r>
      <w:bookmarkStart w:id="109" w:name="PO_part2A5Amount2"/>
      <w:r>
        <w:rPr>
          <w:rFonts w:hint="eastAsia" w:ascii="Times New Roman" w:hAnsi="Times New Roman" w:eastAsia="仿宋_GB2312"/>
          <w:spacing w:val="0"/>
          <w:sz w:val="32"/>
          <w:szCs w:val="32"/>
        </w:rPr>
        <w:t>3903.25</w:t>
      </w:r>
      <w:r>
        <w:rPr>
          <w:rFonts w:hint="eastAsia" w:ascii="Times New Roman" w:hAnsi="Times New Roman" w:eastAsia="仿宋_GB2312"/>
          <w:spacing w:val="0"/>
          <w:sz w:val="11"/>
          <w:szCs w:val="11"/>
        </w:rPr>
        <w:t xml:space="preserve"> </w:t>
      </w:r>
      <w:bookmarkEnd w:id="109"/>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0" w:name="PO_part2A5Reason1"/>
      <w:r>
        <w:rPr>
          <w:rFonts w:hint="eastAsia" w:ascii="Times New Roman" w:hAnsi="Times New Roman" w:eastAsia="仿宋_GB2312"/>
          <w:spacing w:val="0"/>
          <w:sz w:val="32"/>
          <w:szCs w:val="32"/>
        </w:rPr>
        <w:t>主要包括：基本工资379.13万元、津贴补贴165.99万元、奖金65.00万元、绩效工资222.00万元、机关事业单位基本养老保险缴费80.00万元、职业年金缴费35.00万元、职工基本医疗保险缴费36.00万元、公务员医疗补助缴费20.00万元、其他社会保障缴费5.58万元、住房公积金70.00万元、其他工资福利支出2711.73万元、退休费105.50万元、生活补助7.32万元</w:t>
      </w:r>
      <w:r>
        <w:rPr>
          <w:rFonts w:hint="eastAsia" w:ascii="Times New Roman" w:hAnsi="Times New Roman" w:eastAsia="仿宋_GB2312"/>
          <w:spacing w:val="0"/>
          <w:sz w:val="11"/>
          <w:szCs w:val="11"/>
        </w:rPr>
        <w:t xml:space="preserve"> </w:t>
      </w:r>
      <w:bookmarkEnd w:id="110"/>
      <w:r>
        <w:rPr>
          <w:rFonts w:ascii="仿宋" w:hAnsi="仿宋" w:eastAsia="仿宋" w:cs="仿宋"/>
          <w:spacing w:val="0"/>
          <w:sz w:val="31"/>
          <w:szCs w:val="31"/>
        </w:rPr>
        <w:t>。</w:t>
      </w:r>
    </w:p>
    <w:p w14:paraId="4C63F273">
      <w:pPr>
        <w:spacing w:line="600" w:lineRule="exact"/>
        <w:ind w:firstLine="640" w:firstLineChars="200"/>
        <w:rPr>
          <w:rFonts w:hint="eastAsia" w:ascii="仿宋" w:hAnsi="仿宋" w:eastAsia="仿宋" w:cs="仿宋"/>
          <w:spacing w:val="-12"/>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（二）公用经费</w:t>
      </w:r>
      <w:bookmarkStart w:id="111" w:name="PO_part2A5Amount3"/>
      <w:r>
        <w:rPr>
          <w:rFonts w:hint="eastAsia" w:ascii="Times New Roman" w:hAnsi="Times New Roman" w:eastAsia="仿宋_GB2312"/>
          <w:spacing w:val="0"/>
          <w:sz w:val="32"/>
          <w:szCs w:val="32"/>
        </w:rPr>
        <w:t>1.75</w:t>
      </w:r>
      <w:r>
        <w:rPr>
          <w:rFonts w:hint="eastAsia" w:ascii="Times New Roman" w:hAnsi="Times New Roman" w:eastAsia="仿宋_GB2312"/>
          <w:spacing w:val="0"/>
          <w:sz w:val="11"/>
          <w:szCs w:val="11"/>
        </w:rPr>
        <w:t xml:space="preserve"> </w:t>
      </w:r>
      <w:bookmarkEnd w:id="111"/>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2" w:name="PO_part2A5Reason2"/>
      <w:r>
        <w:rPr>
          <w:rFonts w:hint="eastAsia" w:ascii="Times New Roman" w:hAnsi="Times New Roman" w:eastAsia="仿宋_GB2312"/>
          <w:spacing w:val="0"/>
          <w:sz w:val="32"/>
          <w:szCs w:val="32"/>
        </w:rPr>
        <w:t>主要包括：办公费1.75万元</w:t>
      </w:r>
      <w:r>
        <w:rPr>
          <w:rFonts w:hint="eastAsia" w:ascii="Times New Roman" w:hAnsi="Times New Roman" w:eastAsia="仿宋_GB2312"/>
          <w:sz w:val="11"/>
          <w:szCs w:val="11"/>
        </w:rPr>
        <w:t xml:space="preserve"> </w:t>
      </w:r>
      <w:bookmarkEnd w:id="112"/>
      <w:r>
        <w:rPr>
          <w:rFonts w:ascii="仿宋" w:hAnsi="仿宋" w:eastAsia="仿宋" w:cs="仿宋"/>
          <w:spacing w:val="-12"/>
          <w:sz w:val="31"/>
          <w:szCs w:val="31"/>
        </w:rPr>
        <w:t>。</w:t>
      </w:r>
    </w:p>
    <w:p w14:paraId="484A9FCA">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七、财政拨款“三公”经费支出</w:t>
      </w:r>
      <w:r>
        <w:rPr>
          <w:rFonts w:hint="eastAsia" w:eastAsia="黑体" w:cs="黑体"/>
          <w:sz w:val="32"/>
          <w:szCs w:val="36"/>
          <w:lang w:val="en-US" w:eastAsia="zh-CN"/>
        </w:rPr>
        <w:t>预</w:t>
      </w:r>
      <w:r>
        <w:rPr>
          <w:rFonts w:hint="eastAsia" w:eastAsia="黑体" w:cs="黑体"/>
          <w:sz w:val="32"/>
          <w:szCs w:val="36"/>
        </w:rPr>
        <w:t xml:space="preserve">算情况说明 </w:t>
      </w:r>
    </w:p>
    <w:p w14:paraId="4EFC0558">
      <w:pPr>
        <w:spacing w:line="600" w:lineRule="exact"/>
        <w:ind w:firstLine="640" w:firstLineChars="200"/>
        <w:rPr>
          <w:rFonts w:ascii="Times New Roman" w:hAnsi="Times New Roman" w:eastAsia="仿宋_GB2312"/>
          <w:sz w:val="32"/>
          <w:szCs w:val="32"/>
        </w:rPr>
      </w:pPr>
      <w:bookmarkStart w:id="113" w:name="PO_part2A6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11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年度一般公共预算拨款安排的“三公”经费预算支出</w:t>
      </w:r>
      <w:bookmarkStart w:id="114" w:name="PO_part2A6Amount2"/>
      <w:r>
        <w:rPr>
          <w:rFonts w:hint="eastAsia" w:ascii="Times New Roman" w:hAnsi="Times New Roman" w:eastAsia="仿宋_GB2312"/>
          <w:sz w:val="32"/>
          <w:szCs w:val="32"/>
        </w:rPr>
        <w:t>81.70</w:t>
      </w:r>
      <w:r>
        <w:rPr>
          <w:rFonts w:hint="eastAsia" w:ascii="Times New Roman" w:hAnsi="Times New Roman" w:eastAsia="仿宋_GB2312"/>
          <w:sz w:val="11"/>
          <w:szCs w:val="11"/>
        </w:rPr>
        <w:t xml:space="preserve"> </w:t>
      </w:r>
      <w:bookmarkEnd w:id="114"/>
      <w:r>
        <w:rPr>
          <w:rFonts w:hint="eastAsia" w:ascii="Times New Roman" w:hAnsi="Times New Roman" w:eastAsia="仿宋_GB2312"/>
          <w:sz w:val="32"/>
          <w:szCs w:val="32"/>
        </w:rPr>
        <w:t>万元，其中因公出国（境）费支出</w:t>
      </w:r>
      <w:bookmarkStart w:id="115" w:name="PO_part2A6Amount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15"/>
      <w:r>
        <w:rPr>
          <w:rFonts w:hint="eastAsia" w:ascii="Times New Roman" w:hAnsi="Times New Roman" w:eastAsia="仿宋_GB2312"/>
          <w:sz w:val="32"/>
          <w:szCs w:val="32"/>
        </w:rPr>
        <w:t>万元，占</w:t>
      </w:r>
      <w:bookmarkStart w:id="116" w:name="PO_part2A6Amount4"/>
      <w:r>
        <w:rPr>
          <w:rFonts w:hint="eastAsia" w:ascii="Times New Roman" w:hAnsi="Times New Roman" w:eastAsia="仿宋_GB2312"/>
          <w:sz w:val="32"/>
          <w:szCs w:val="32"/>
        </w:rPr>
        <w:t xml:space="preserve">0.00 </w:t>
      </w:r>
      <w:bookmarkEnd w:id="116"/>
      <w:r>
        <w:rPr>
          <w:rFonts w:hint="eastAsia" w:ascii="Times New Roman" w:hAnsi="Times New Roman" w:eastAsia="仿宋_GB2312"/>
          <w:sz w:val="32"/>
          <w:szCs w:val="32"/>
        </w:rPr>
        <w:t>%；公务用车购置及运行维护费支出</w:t>
      </w:r>
      <w:bookmarkStart w:id="117" w:name="PO_part2A6Amount5"/>
      <w:r>
        <w:rPr>
          <w:rFonts w:hint="eastAsia" w:ascii="Times New Roman" w:hAnsi="Times New Roman" w:eastAsia="仿宋_GB2312"/>
          <w:sz w:val="32"/>
          <w:szCs w:val="32"/>
        </w:rPr>
        <w:t>80.50</w:t>
      </w:r>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万元，占</w:t>
      </w:r>
      <w:bookmarkStart w:id="118" w:name="PO_part2A6Amount6"/>
      <w:r>
        <w:rPr>
          <w:rFonts w:hint="eastAsia" w:ascii="Times New Roman" w:hAnsi="Times New Roman" w:eastAsia="仿宋_GB2312"/>
          <w:sz w:val="32"/>
          <w:szCs w:val="32"/>
        </w:rPr>
        <w:t xml:space="preserve">98.53 </w:t>
      </w:r>
      <w:bookmarkEnd w:id="118"/>
      <w:r>
        <w:rPr>
          <w:rFonts w:hint="eastAsia" w:ascii="Times New Roman" w:hAnsi="Times New Roman" w:eastAsia="仿宋_GB2312"/>
          <w:sz w:val="32"/>
          <w:szCs w:val="32"/>
        </w:rPr>
        <w:t>%；公务接待费支出</w:t>
      </w:r>
      <w:bookmarkStart w:id="119" w:name="PO_part2A6Amount7"/>
      <w:r>
        <w:rPr>
          <w:rFonts w:hint="eastAsia" w:ascii="Times New Roman" w:hAnsi="Times New Roman" w:eastAsia="仿宋_GB2312"/>
          <w:sz w:val="32"/>
          <w:szCs w:val="32"/>
        </w:rPr>
        <w:t>1.20</w:t>
      </w:r>
      <w:r>
        <w:rPr>
          <w:rFonts w:hint="eastAsia" w:ascii="Times New Roman" w:hAnsi="Times New Roman" w:eastAsia="仿宋_GB2312"/>
          <w:sz w:val="11"/>
          <w:szCs w:val="11"/>
        </w:rPr>
        <w:t xml:space="preserve"> </w:t>
      </w:r>
      <w:bookmarkEnd w:id="119"/>
      <w:r>
        <w:rPr>
          <w:rFonts w:hint="eastAsia" w:ascii="Times New Roman" w:hAnsi="Times New Roman" w:eastAsia="仿宋_GB2312"/>
          <w:sz w:val="32"/>
          <w:szCs w:val="32"/>
        </w:rPr>
        <w:t>万元，占</w:t>
      </w:r>
      <w:bookmarkStart w:id="120" w:name="PO_part2A6Amount8"/>
      <w:r>
        <w:rPr>
          <w:rFonts w:hint="eastAsia" w:ascii="Times New Roman" w:hAnsi="Times New Roman" w:eastAsia="仿宋_GB2312"/>
          <w:sz w:val="32"/>
          <w:szCs w:val="32"/>
        </w:rPr>
        <w:t xml:space="preserve">1.47 </w:t>
      </w:r>
      <w:bookmarkEnd w:id="120"/>
      <w:r>
        <w:rPr>
          <w:rFonts w:hint="eastAsia" w:ascii="Times New Roman" w:hAnsi="Times New Roman" w:eastAsia="仿宋_GB2312"/>
          <w:sz w:val="32"/>
          <w:szCs w:val="32"/>
        </w:rPr>
        <w:t>%。具体情况如下：</w:t>
      </w:r>
    </w:p>
    <w:p w14:paraId="21D0558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bookmarkStart w:id="121" w:name="PO_part2A6Amount9"/>
      <w:r>
        <w:rPr>
          <w:rFonts w:hint="eastAsia" w:ascii="Times New Roman" w:hAnsi="Times New Roman" w:eastAsia="仿宋_GB2312"/>
          <w:sz w:val="32"/>
          <w:szCs w:val="32"/>
        </w:rPr>
        <w:t>81.70</w:t>
      </w:r>
      <w:r>
        <w:rPr>
          <w:rFonts w:hint="eastAsia" w:ascii="Times New Roman" w:hAnsi="Times New Roman" w:eastAsia="仿宋_GB2312"/>
          <w:sz w:val="11"/>
          <w:szCs w:val="11"/>
        </w:rPr>
        <w:t xml:space="preserve"> </w:t>
      </w:r>
      <w:bookmarkEnd w:id="121"/>
      <w:r>
        <w:rPr>
          <w:rFonts w:hint="eastAsia" w:ascii="Times New Roman" w:hAnsi="Times New Roman" w:eastAsia="仿宋_GB2312"/>
          <w:sz w:val="32"/>
          <w:szCs w:val="32"/>
        </w:rPr>
        <w:t>万元，与上年预算相比</w:t>
      </w:r>
      <w:bookmarkStart w:id="122" w:name="PO_part2A6Reason1"/>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22"/>
      <w:r>
        <w:rPr>
          <w:rFonts w:hint="eastAsia" w:ascii="Times New Roman" w:hAnsi="Times New Roman" w:eastAsia="仿宋_GB2312"/>
          <w:sz w:val="32"/>
          <w:szCs w:val="32"/>
        </w:rPr>
        <w:t>；其中：</w:t>
      </w:r>
    </w:p>
    <w:p w14:paraId="69C40B2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bookmarkStart w:id="123" w:name="PO_part2A6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3"/>
      <w:r>
        <w:rPr>
          <w:rFonts w:hint="eastAsia" w:ascii="Times New Roman" w:hAnsi="Times New Roman" w:eastAsia="仿宋_GB2312"/>
          <w:sz w:val="32"/>
          <w:szCs w:val="32"/>
        </w:rPr>
        <w:t>万元，与上年预算相比</w:t>
      </w:r>
      <w:bookmarkStart w:id="124" w:name="PO_part2A6Amount15"/>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4"/>
      <w:r>
        <w:rPr>
          <w:rFonts w:hint="eastAsia" w:ascii="Times New Roman" w:hAnsi="Times New Roman" w:eastAsia="仿宋_GB2312"/>
          <w:sz w:val="32"/>
          <w:szCs w:val="32"/>
        </w:rPr>
        <w:t>，主要原因是：</w:t>
      </w:r>
      <w:bookmarkStart w:id="125" w:name="PO_part2A6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w:t>
      </w:r>
    </w:p>
    <w:p w14:paraId="180F15C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bookmarkStart w:id="126" w:name="PO_part2A6Amount11"/>
      <w:r>
        <w:rPr>
          <w:rFonts w:hint="eastAsia" w:ascii="Times New Roman" w:hAnsi="Times New Roman" w:eastAsia="仿宋_GB2312"/>
          <w:sz w:val="32"/>
          <w:szCs w:val="32"/>
        </w:rPr>
        <w:t>80.50</w:t>
      </w:r>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万元。其中：</w:t>
      </w:r>
    </w:p>
    <w:p w14:paraId="4261E3B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bookmarkStart w:id="127" w:name="PO_part2A6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万元，与上年预算相比</w:t>
      </w:r>
      <w:bookmarkStart w:id="128" w:name="PO_part2A6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，主要原因是：</w:t>
      </w:r>
      <w:bookmarkStart w:id="129" w:name="PO_part2A6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w:t>
      </w:r>
    </w:p>
    <w:p w14:paraId="67B88EA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bookmarkStart w:id="130" w:name="PO_part2A6Amount13"/>
      <w:r>
        <w:rPr>
          <w:rFonts w:hint="eastAsia" w:ascii="Times New Roman" w:hAnsi="Times New Roman" w:eastAsia="仿宋_GB2312"/>
          <w:sz w:val="32"/>
          <w:szCs w:val="32"/>
        </w:rPr>
        <w:t>80.50</w:t>
      </w:r>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万元，与上年预算相比</w:t>
      </w:r>
      <w:bookmarkStart w:id="131" w:name="PO_part2A6Amount17"/>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，主要原因是：</w:t>
      </w:r>
      <w:bookmarkStart w:id="132" w:name="PO_part2A6Reason4"/>
      <w:r>
        <w:rPr>
          <w:rFonts w:hint="eastAsia" w:ascii="Times New Roman" w:hAnsi="Times New Roman" w:eastAsia="仿宋_GB2312"/>
          <w:sz w:val="32"/>
          <w:szCs w:val="32"/>
        </w:rPr>
        <w:t>业务较上年相比无变动</w:t>
      </w:r>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w:t>
      </w:r>
    </w:p>
    <w:p w14:paraId="2591BB9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3．公务接待费预算支出</w:t>
      </w:r>
      <w:bookmarkStart w:id="133" w:name="PO_part2A6Amount14"/>
      <w:r>
        <w:rPr>
          <w:rFonts w:hint="eastAsia" w:ascii="Times New Roman" w:hAnsi="Times New Roman" w:eastAsia="仿宋_GB2312"/>
          <w:sz w:val="32"/>
          <w:szCs w:val="32"/>
        </w:rPr>
        <w:t>1.20</w:t>
      </w:r>
      <w:r>
        <w:rPr>
          <w:rFonts w:hint="eastAsia" w:ascii="Times New Roman" w:hAnsi="Times New Roman" w:eastAsia="仿宋_GB2312"/>
          <w:sz w:val="11"/>
          <w:szCs w:val="11"/>
        </w:rPr>
        <w:t xml:space="preserve"> </w:t>
      </w:r>
      <w:bookmarkEnd w:id="133"/>
      <w:r>
        <w:rPr>
          <w:rFonts w:hint="eastAsia" w:ascii="Times New Roman" w:hAnsi="Times New Roman" w:eastAsia="仿宋_GB2312"/>
          <w:sz w:val="32"/>
          <w:szCs w:val="32"/>
        </w:rPr>
        <w:t>万元，与上年预算相比</w:t>
      </w:r>
      <w:bookmarkStart w:id="134" w:name="PO_part2A6Amount18"/>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34"/>
      <w:r>
        <w:rPr>
          <w:rFonts w:hint="eastAsia" w:ascii="Times New Roman" w:hAnsi="Times New Roman" w:eastAsia="仿宋_GB2312"/>
          <w:sz w:val="32"/>
          <w:szCs w:val="32"/>
        </w:rPr>
        <w:t>，主要原因是：</w:t>
      </w:r>
      <w:bookmarkStart w:id="135" w:name="PO_part2A6Reason5"/>
      <w:r>
        <w:rPr>
          <w:rFonts w:hint="eastAsia" w:ascii="Times New Roman" w:hAnsi="Times New Roman" w:eastAsia="仿宋_GB2312"/>
          <w:sz w:val="32"/>
          <w:szCs w:val="32"/>
        </w:rPr>
        <w:t>业务较上年相比无变动</w:t>
      </w:r>
      <w:r>
        <w:rPr>
          <w:rFonts w:hint="eastAsia" w:ascii="Times New Roman" w:hAnsi="Times New Roman" w:eastAsia="仿宋_GB2312"/>
          <w:sz w:val="11"/>
          <w:szCs w:val="11"/>
        </w:rPr>
        <w:t xml:space="preserve"> </w:t>
      </w:r>
      <w:bookmarkEnd w:id="135"/>
      <w:r>
        <w:rPr>
          <w:rFonts w:hint="eastAsia" w:ascii="Times New Roman" w:hAnsi="Times New Roman" w:eastAsia="仿宋_GB2312"/>
          <w:sz w:val="32"/>
          <w:szCs w:val="32"/>
        </w:rPr>
        <w:t>。</w:t>
      </w:r>
    </w:p>
    <w:p w14:paraId="371CC9B0">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18526A9D">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theme="minorBidi"/>
          <w:sz w:val="32"/>
          <w:szCs w:val="32"/>
          <w:lang w:eastAsia="zh-CN"/>
        </w:rPr>
      </w:pPr>
      <w:bookmarkStart w:id="136" w:name="PO_part2A7Amount1"/>
      <w:r>
        <w:rPr>
          <w:rFonts w:hint="eastAsia" w:ascii="Times New Roman" w:hAnsi="Times New Roman" w:eastAsia="仿宋_GB2312" w:cstheme="minorBidi"/>
          <w:sz w:val="32"/>
          <w:szCs w:val="32"/>
          <w:lang w:eastAsia="zh-CN"/>
        </w:rPr>
        <w:t>内蒙古自治区特种设备检验研究院</w:t>
      </w:r>
      <w:r>
        <w:rPr>
          <w:rFonts w:hint="eastAsia" w:ascii="Times New Roman" w:hAnsi="Times New Roman" w:eastAsia="仿宋_GB2312" w:cstheme="minorBidi"/>
          <w:sz w:val="11"/>
          <w:szCs w:val="11"/>
          <w:lang w:eastAsia="zh-CN"/>
        </w:rPr>
        <w:t xml:space="preserve"> </w:t>
      </w:r>
      <w:bookmarkEnd w:id="136"/>
      <w:r>
        <w:rPr>
          <w:rFonts w:hint="eastAsia" w:ascii="Times New Roman" w:hAnsi="Times New Roman" w:eastAsia="仿宋_GB2312" w:cstheme="minorBidi"/>
          <w:sz w:val="32"/>
          <w:szCs w:val="32"/>
          <w:lang w:eastAsia="zh-CN"/>
        </w:rPr>
        <w:t>2026年度政府性基金支出预算支出</w:t>
      </w:r>
      <w:bookmarkStart w:id="137" w:name="PO_part2A7Amount2"/>
      <w:r>
        <w:rPr>
          <w:rFonts w:hint="eastAsia" w:ascii="Times New Roman" w:hAnsi="Times New Roman" w:eastAsia="仿宋_GB2312" w:cstheme="minorBidi"/>
          <w:sz w:val="32"/>
          <w:szCs w:val="32"/>
          <w:lang w:eastAsia="zh-CN"/>
        </w:rPr>
        <w:t>0.00</w:t>
      </w:r>
      <w:r>
        <w:rPr>
          <w:rFonts w:hint="eastAsia" w:ascii="Times New Roman" w:hAnsi="Times New Roman" w:eastAsia="仿宋_GB2312" w:cstheme="minorBidi"/>
          <w:sz w:val="11"/>
          <w:szCs w:val="11"/>
          <w:lang w:eastAsia="zh-CN"/>
        </w:rPr>
        <w:t xml:space="preserve"> </w:t>
      </w:r>
      <w:bookmarkEnd w:id="137"/>
      <w:r>
        <w:rPr>
          <w:rFonts w:hint="eastAsia" w:ascii="Times New Roman" w:hAnsi="Times New Roman" w:eastAsia="仿宋_GB2312" w:cstheme="minorBidi"/>
          <w:sz w:val="32"/>
          <w:szCs w:val="32"/>
          <w:lang w:eastAsia="zh-CN"/>
        </w:rPr>
        <w:t>万元。与上年预算相比</w:t>
      </w:r>
      <w:bookmarkStart w:id="138" w:name="PO_part2A7Reason1"/>
      <w:r>
        <w:rPr>
          <w:rFonts w:hint="eastAsia" w:ascii="Times New Roman" w:hAnsi="Times New Roman" w:eastAsia="仿宋_GB2312" w:cstheme="minorBidi"/>
          <w:sz w:val="32"/>
          <w:szCs w:val="32"/>
          <w:lang w:eastAsia="zh-CN"/>
        </w:rPr>
        <w:t>同为0.00万元，无增减变动</w:t>
      </w:r>
      <w:r>
        <w:rPr>
          <w:rFonts w:hint="eastAsia" w:ascii="Times New Roman" w:hAnsi="Times New Roman" w:eastAsia="仿宋_GB2312" w:cstheme="minorBidi"/>
          <w:sz w:val="11"/>
          <w:szCs w:val="11"/>
          <w:lang w:eastAsia="zh-CN"/>
        </w:rPr>
        <w:t xml:space="preserve"> </w:t>
      </w:r>
      <w:bookmarkEnd w:id="138"/>
      <w:r>
        <w:rPr>
          <w:rFonts w:hint="eastAsia" w:ascii="Times New Roman" w:hAnsi="Times New Roman" w:eastAsia="仿宋_GB2312" w:cstheme="minorBidi"/>
          <w:sz w:val="32"/>
          <w:szCs w:val="32"/>
          <w:lang w:eastAsia="zh-CN"/>
        </w:rPr>
        <w:t>，主要原因：</w:t>
      </w:r>
      <w:bookmarkStart w:id="139" w:name="PO_part2A7Reason2"/>
      <w:r>
        <w:rPr>
          <w:rFonts w:hint="eastAsia" w:ascii="Times New Roman" w:hAnsi="Times New Roman" w:eastAsia="仿宋_GB2312" w:cstheme="minorBidi"/>
          <w:sz w:val="32"/>
          <w:szCs w:val="32"/>
          <w:lang w:eastAsia="zh-CN"/>
        </w:rPr>
        <w:t>我单位不涉及政府性基金预算</w:t>
      </w:r>
      <w:r>
        <w:rPr>
          <w:rFonts w:hint="eastAsia" w:ascii="Times New Roman" w:hAnsi="Times New Roman" w:eastAsia="仿宋_GB2312" w:cstheme="minorBidi"/>
          <w:sz w:val="11"/>
          <w:szCs w:val="11"/>
          <w:lang w:eastAsia="zh-CN"/>
        </w:rPr>
        <w:t xml:space="preserve"> </w:t>
      </w:r>
      <w:bookmarkEnd w:id="139"/>
      <w:r>
        <w:rPr>
          <w:rFonts w:hint="eastAsia" w:ascii="Times New Roman" w:hAnsi="Times New Roman" w:eastAsia="仿宋_GB2312" w:cstheme="minorBidi"/>
          <w:sz w:val="32"/>
          <w:szCs w:val="32"/>
          <w:lang w:eastAsia="zh-CN"/>
        </w:rPr>
        <w:t>。</w:t>
      </w:r>
      <w:bookmarkStart w:id="140" w:name="PO_part2A7Reason3"/>
      <w:r>
        <w:rPr>
          <w:rFonts w:hint="eastAsia" w:ascii="Times New Roman" w:hAnsi="Times New Roman" w:eastAsia="仿宋_GB2312" w:cstheme="minorBidi"/>
          <w:sz w:val="32"/>
          <w:szCs w:val="32"/>
          <w:lang w:eastAsia="zh-CN"/>
        </w:rPr>
        <w:t xml:space="preserve"> </w:t>
      </w:r>
    </w:p>
    <w:bookmarkEnd w:id="140"/>
    <w:p w14:paraId="5C987431">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76B1C1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bookmarkStart w:id="141" w:name="PO_part2A8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141"/>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年度国有资本经营预算支出</w:t>
      </w:r>
      <w:bookmarkStart w:id="142" w:name="PO_part2A8Amount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2"/>
      <w:r>
        <w:rPr>
          <w:rFonts w:hint="eastAsia" w:ascii="Times New Roman" w:hAnsi="Times New Roman" w:eastAsia="仿宋_GB2312"/>
          <w:sz w:val="32"/>
          <w:szCs w:val="32"/>
        </w:rPr>
        <w:t>万元。与上年预算相比</w:t>
      </w:r>
      <w:bookmarkStart w:id="143" w:name="PO_part2A8Reason1"/>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43"/>
      <w:r>
        <w:rPr>
          <w:rFonts w:hint="eastAsia" w:ascii="Times New Roman" w:hAnsi="Times New Roman" w:eastAsia="仿宋_GB2312"/>
          <w:sz w:val="32"/>
          <w:szCs w:val="32"/>
        </w:rPr>
        <w:t>，主要原因：</w:t>
      </w:r>
      <w:bookmarkStart w:id="144" w:name="PO_part2A8Reason2"/>
      <w:r>
        <w:rPr>
          <w:rFonts w:hint="eastAsia" w:ascii="Times New Roman" w:hAnsi="Times New Roman" w:eastAsia="仿宋_GB2312"/>
          <w:sz w:val="32"/>
          <w:szCs w:val="32"/>
        </w:rPr>
        <w:t>我单位不涉及国有资本经营预算</w:t>
      </w:r>
      <w:r>
        <w:rPr>
          <w:rFonts w:hint="eastAsia" w:ascii="Times New Roman" w:hAnsi="Times New Roman" w:eastAsia="仿宋_GB2312"/>
          <w:sz w:val="15"/>
          <w:szCs w:val="15"/>
        </w:rPr>
        <w:t xml:space="preserve"> </w:t>
      </w:r>
      <w:bookmarkEnd w:id="144"/>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Start w:id="145" w:name="PO_part2A8Reason3"/>
      <w:r>
        <w:rPr>
          <w:rFonts w:hint="eastAsia" w:ascii="Times New Roman" w:hAnsi="Times New Roman" w:eastAsia="仿宋_GB2312"/>
          <w:sz w:val="32"/>
          <w:szCs w:val="32"/>
        </w:rPr>
        <w:t xml:space="preserve"> </w:t>
      </w:r>
    </w:p>
    <w:bookmarkEnd w:id="145"/>
    <w:p w14:paraId="39105D0E">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74D19468">
      <w:pPr>
        <w:widowControl/>
        <w:snapToGrid w:val="0"/>
        <w:spacing w:line="600" w:lineRule="exact"/>
        <w:ind w:firstLine="640" w:firstLineChars="200"/>
        <w:rPr>
          <w:rFonts w:hint="eastAsia" w:ascii="仿宋" w:hAnsi="仿宋" w:eastAsia="仿宋" w:cs="仿宋"/>
          <w:sz w:val="31"/>
          <w:szCs w:val="31"/>
        </w:rPr>
      </w:pPr>
      <w:bookmarkStart w:id="146" w:name="PO_part2A9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146"/>
      <w:r>
        <w:rPr>
          <w:rFonts w:hint="eastAsia" w:ascii="Times New Roman" w:hAnsi="Times New Roman" w:eastAsia="仿宋_GB2312"/>
          <w:sz w:val="32"/>
          <w:szCs w:val="32"/>
          <w:lang w:val="en-US" w:eastAsia="zh-CN"/>
        </w:rPr>
        <w:t>2026</w:t>
      </w:r>
      <w:r>
        <w:rPr>
          <w:rFonts w:hint="eastAsia" w:ascii="Times New Roman" w:hAnsi="Times New Roman" w:eastAsia="仿宋_GB2312"/>
          <w:sz w:val="32"/>
          <w:szCs w:val="32"/>
        </w:rPr>
        <w:t>年度预算安排项目</w:t>
      </w:r>
      <w:bookmarkStart w:id="147" w:name="PO_part2A9Amount2"/>
      <w:r>
        <w:rPr>
          <w:rFonts w:hint="eastAsia" w:ascii="Times New Roman" w:hAnsi="Times New Roman" w:eastAsia="仿宋_GB2312"/>
          <w:sz w:val="32"/>
          <w:szCs w:val="32"/>
        </w:rPr>
        <w:t>10</w:t>
      </w:r>
      <w:r>
        <w:rPr>
          <w:rFonts w:hint="eastAsia" w:ascii="Times New Roman" w:hAnsi="Times New Roman" w:eastAsia="仿宋_GB2312"/>
          <w:sz w:val="11"/>
          <w:szCs w:val="11"/>
        </w:rPr>
        <w:t xml:space="preserve"> </w:t>
      </w:r>
      <w:bookmarkEnd w:id="147"/>
      <w:r>
        <w:rPr>
          <w:rFonts w:hint="eastAsia" w:ascii="Times New Roman" w:hAnsi="Times New Roman" w:eastAsia="仿宋_GB2312"/>
          <w:sz w:val="32"/>
          <w:szCs w:val="32"/>
        </w:rPr>
        <w:t>个，项目支出总金额</w:t>
      </w:r>
      <w:bookmarkStart w:id="148" w:name="PO_part2A9Amount5"/>
      <w:r>
        <w:rPr>
          <w:rFonts w:hint="eastAsia" w:ascii="Times New Roman" w:hAnsi="Times New Roman" w:eastAsia="仿宋_GB2312"/>
          <w:sz w:val="32"/>
          <w:szCs w:val="32"/>
        </w:rPr>
        <w:t>16974.85</w:t>
      </w:r>
      <w:r>
        <w:rPr>
          <w:rFonts w:hint="eastAsia" w:ascii="Times New Roman" w:hAnsi="Times New Roman" w:eastAsia="仿宋_GB2312"/>
          <w:sz w:val="11"/>
          <w:szCs w:val="11"/>
        </w:rPr>
        <w:t xml:space="preserve"> </w:t>
      </w:r>
      <w:bookmarkEnd w:id="148"/>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拨款金额</w:t>
      </w:r>
      <w:bookmarkStart w:id="149" w:name="PO_part2A9Amount7"/>
      <w:r>
        <w:rPr>
          <w:rFonts w:hint="eastAsia" w:ascii="Times New Roman" w:hAnsi="Times New Roman" w:eastAsia="仿宋_GB2312"/>
          <w:sz w:val="32"/>
          <w:szCs w:val="32"/>
        </w:rPr>
        <w:t>3256.00</w:t>
      </w:r>
      <w:r>
        <w:rPr>
          <w:rFonts w:hint="eastAsia" w:ascii="Times New Roman" w:hAnsi="Times New Roman" w:eastAsia="仿宋_GB2312"/>
          <w:sz w:val="11"/>
          <w:szCs w:val="11"/>
        </w:rPr>
        <w:t xml:space="preserve"> </w:t>
      </w:r>
      <w:bookmarkEnd w:id="149"/>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财政拨款</w:t>
      </w:r>
      <w:r>
        <w:rPr>
          <w:rFonts w:hint="eastAsia" w:ascii="Times New Roman" w:hAnsi="Times New Roman" w:eastAsia="仿宋_GB2312"/>
          <w:sz w:val="32"/>
          <w:szCs w:val="32"/>
        </w:rPr>
        <w:t>结转结余</w:t>
      </w:r>
      <w:bookmarkStart w:id="150" w:name="PO_part2A9Amount6"/>
      <w:r>
        <w:rPr>
          <w:rFonts w:hint="eastAsia" w:ascii="Times New Roman" w:hAnsi="Times New Roman" w:eastAsia="仿宋_GB2312"/>
          <w:sz w:val="32"/>
          <w:szCs w:val="32"/>
        </w:rPr>
        <w:t>227.06</w:t>
      </w:r>
      <w:r>
        <w:rPr>
          <w:rFonts w:hint="eastAsia" w:ascii="Times New Roman" w:hAnsi="Times New Roman" w:eastAsia="仿宋_GB2312"/>
          <w:sz w:val="11"/>
          <w:szCs w:val="11"/>
        </w:rPr>
        <w:t xml:space="preserve"> </w:t>
      </w:r>
      <w:bookmarkEnd w:id="150"/>
      <w:r>
        <w:rPr>
          <w:rFonts w:hint="eastAsia" w:ascii="Times New Roman" w:hAnsi="Times New Roman" w:eastAsia="仿宋_GB2312"/>
          <w:sz w:val="32"/>
          <w:szCs w:val="32"/>
        </w:rPr>
        <w:t>万元，财政专户管理资金</w:t>
      </w:r>
      <w:bookmarkStart w:id="151" w:name="PO_part2A9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单位资金</w:t>
      </w:r>
      <w:bookmarkStart w:id="152" w:name="PO_part2A9Amount9"/>
      <w:r>
        <w:rPr>
          <w:rFonts w:hint="eastAsia" w:ascii="Times New Roman" w:hAnsi="Times New Roman" w:eastAsia="仿宋_GB2312"/>
          <w:sz w:val="32"/>
          <w:szCs w:val="32"/>
        </w:rPr>
        <w:t>13491.79</w:t>
      </w:r>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万元。</w:t>
      </w:r>
    </w:p>
    <w:p w14:paraId="3FF9DB8F">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64DC4B18">
      <w:pPr>
        <w:widowControl/>
        <w:snapToGrid w:val="0"/>
        <w:spacing w:line="600" w:lineRule="exact"/>
        <w:ind w:firstLine="640" w:firstLineChars="200"/>
        <w:rPr>
          <w:rFonts w:ascii="Times New Roman" w:hAnsi="Times New Roman" w:eastAsia="仿宋_GB2312"/>
          <w:sz w:val="32"/>
          <w:szCs w:val="32"/>
        </w:rPr>
      </w:pPr>
      <w:bookmarkStart w:id="153" w:name="PO_part2A10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年度机构运行经费预算支出</w:t>
      </w:r>
      <w:bookmarkStart w:id="154" w:name="PO_part2A10Amount2"/>
      <w:r>
        <w:rPr>
          <w:rFonts w:hint="eastAsia" w:ascii="Times New Roman" w:hAnsi="Times New Roman" w:eastAsia="仿宋_GB2312"/>
          <w:sz w:val="32"/>
          <w:szCs w:val="32"/>
        </w:rPr>
        <w:t>1.75</w:t>
      </w:r>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rPr>
        <w:t>万元，与上年预算相比</w:t>
      </w:r>
      <w:bookmarkStart w:id="155" w:name="PO_part2A10Reason1"/>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rPr>
        <w:t>，主要原因是：</w:t>
      </w:r>
      <w:bookmarkStart w:id="156" w:name="PO_part2A10Reason2"/>
      <w:r>
        <w:rPr>
          <w:rFonts w:hint="eastAsia" w:ascii="Times New Roman" w:hAnsi="Times New Roman" w:eastAsia="仿宋_GB2312"/>
          <w:sz w:val="32"/>
          <w:szCs w:val="32"/>
          <w:lang w:val="en-US" w:eastAsia="zh-CN"/>
        </w:rPr>
        <w:t>无变动原因</w:t>
      </w:r>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w:t>
      </w:r>
    </w:p>
    <w:p w14:paraId="472EA91C">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18B8401E">
      <w:pPr>
        <w:widowControl/>
        <w:snapToGrid w:val="0"/>
        <w:spacing w:line="600" w:lineRule="exact"/>
        <w:ind w:firstLine="640" w:firstLineChars="200"/>
        <w:rPr>
          <w:rFonts w:ascii="Times New Roman" w:hAnsi="Times New Roman" w:eastAsia="仿宋_GB2312"/>
          <w:sz w:val="32"/>
          <w:szCs w:val="32"/>
        </w:rPr>
      </w:pPr>
      <w:bookmarkStart w:id="157" w:name="PO_part2A11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年度政府采购支出预算总额</w:t>
      </w:r>
      <w:bookmarkStart w:id="158" w:name="PO_part2A11Amount2"/>
      <w:r>
        <w:rPr>
          <w:rFonts w:hint="eastAsia" w:ascii="Times New Roman" w:hAnsi="Times New Roman" w:eastAsia="仿宋_GB2312"/>
          <w:sz w:val="32"/>
          <w:szCs w:val="32"/>
        </w:rPr>
        <w:t>11635.96</w:t>
      </w:r>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万元，其中：拟采购货物支出</w:t>
      </w:r>
      <w:bookmarkStart w:id="159" w:name="PO_part2A11Amount3"/>
      <w:r>
        <w:rPr>
          <w:rFonts w:hint="eastAsia" w:ascii="Times New Roman" w:hAnsi="Times New Roman" w:eastAsia="仿宋_GB2312"/>
          <w:sz w:val="32"/>
          <w:szCs w:val="32"/>
        </w:rPr>
        <w:t>1589.36</w:t>
      </w:r>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rPr>
        <w:t>万元、拟采购工程支出</w:t>
      </w:r>
      <w:bookmarkStart w:id="160" w:name="PO_part2A11Amount4"/>
      <w:r>
        <w:rPr>
          <w:rFonts w:hint="eastAsia" w:ascii="Times New Roman" w:hAnsi="Times New Roman" w:eastAsia="仿宋_GB2312"/>
          <w:sz w:val="32"/>
          <w:szCs w:val="32"/>
        </w:rPr>
        <w:t>7408.00</w:t>
      </w:r>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万元、拟购买服务支出</w:t>
      </w:r>
      <w:bookmarkStart w:id="161" w:name="PO_part2A11Amount5"/>
      <w:r>
        <w:rPr>
          <w:rFonts w:hint="eastAsia" w:ascii="Times New Roman" w:hAnsi="Times New Roman" w:eastAsia="仿宋_GB2312"/>
          <w:sz w:val="32"/>
          <w:szCs w:val="32"/>
        </w:rPr>
        <w:t>2638.60</w:t>
      </w:r>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万元。</w:t>
      </w:r>
    </w:p>
    <w:p w14:paraId="163F1CCD">
      <w:pPr>
        <w:spacing w:after="156" w:afterLines="50"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14:paraId="25358ECA">
      <w:pPr>
        <w:tabs>
          <w:tab w:val="left" w:pos="740"/>
          <w:tab w:val="left" w:pos="9039"/>
        </w:tabs>
        <w:spacing w:line="600" w:lineRule="exact"/>
        <w:ind w:firstLine="640" w:firstLineChars="200"/>
        <w:rPr>
          <w:rFonts w:hint="eastAsia" w:ascii="仿宋" w:hAnsi="仿宋" w:eastAsia="仿宋" w:cs="仿宋"/>
          <w:sz w:val="31"/>
          <w:szCs w:val="31"/>
          <w:highlight w:val="none"/>
        </w:rPr>
      </w:pPr>
      <w:bookmarkStart w:id="162" w:name="PO_part2A12Amount1"/>
      <w:r>
        <w:rPr>
          <w:rFonts w:hint="eastAsia" w:ascii="Times New Roman" w:hAnsi="Times New Roman" w:eastAsia="仿宋_GB2312"/>
          <w:sz w:val="32"/>
          <w:szCs w:val="32"/>
          <w:highlight w:val="none"/>
        </w:rPr>
        <w:t>内蒙古自治区特种设备检验研究院</w:t>
      </w:r>
      <w:r>
        <w:rPr>
          <w:rFonts w:hint="eastAsia" w:ascii="Times New Roman" w:hAnsi="Times New Roman" w:eastAsia="仿宋_GB2312"/>
          <w:sz w:val="11"/>
          <w:szCs w:val="11"/>
          <w:highlight w:val="none"/>
        </w:rPr>
        <w:t xml:space="preserve"> </w:t>
      </w:r>
      <w:bookmarkEnd w:id="162"/>
      <w:r>
        <w:rPr>
          <w:rFonts w:hint="eastAsia" w:ascii="Times New Roman" w:hAnsi="Times New Roman" w:eastAsia="仿宋_GB2312"/>
          <w:sz w:val="32"/>
          <w:szCs w:val="32"/>
          <w:highlight w:val="none"/>
        </w:rPr>
        <w:t>共有车辆</w:t>
      </w:r>
      <w:r>
        <w:rPr>
          <w:rFonts w:hint="eastAsia" w:ascii="Times New Roman" w:hAnsi="Times New Roman" w:eastAsia="仿宋_GB2312"/>
          <w:sz w:val="32"/>
          <w:szCs w:val="32"/>
          <w:highlight w:val="none"/>
          <w:lang w:val="en-US" w:eastAsia="zh-CN"/>
        </w:rPr>
        <w:t>26</w:t>
      </w:r>
      <w:r>
        <w:rPr>
          <w:rFonts w:hint="eastAsia" w:ascii="Times New Roman" w:hAnsi="Times New Roman" w:eastAsia="仿宋_GB2312"/>
          <w:sz w:val="32"/>
          <w:szCs w:val="32"/>
          <w:highlight w:val="none"/>
        </w:rPr>
        <w:t>辆，其中，一般公务用车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辆、执法执勤用车</w:t>
      </w:r>
      <w:bookmarkStart w:id="163" w:name="PO_part2A12Amount4"/>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11"/>
          <w:szCs w:val="11"/>
          <w:highlight w:val="none"/>
        </w:rPr>
        <w:t xml:space="preserve"> </w:t>
      </w:r>
      <w:bookmarkEnd w:id="163"/>
      <w:r>
        <w:rPr>
          <w:rFonts w:hint="eastAsia" w:ascii="Times New Roman" w:hAnsi="Times New Roman" w:eastAsia="仿宋_GB2312"/>
          <w:sz w:val="32"/>
          <w:szCs w:val="32"/>
          <w:highlight w:val="none"/>
        </w:rPr>
        <w:t>辆、特种专业技术用车</w:t>
      </w:r>
      <w:r>
        <w:rPr>
          <w:rFonts w:hint="eastAsia" w:ascii="Times New Roman" w:hAnsi="Times New Roman" w:eastAsia="仿宋_GB2312"/>
          <w:sz w:val="32"/>
          <w:szCs w:val="32"/>
          <w:highlight w:val="none"/>
          <w:lang w:val="en-US" w:eastAsia="zh-CN"/>
        </w:rPr>
        <w:t>20</w:t>
      </w:r>
      <w:r>
        <w:rPr>
          <w:rFonts w:hint="eastAsia" w:ascii="Times New Roman" w:hAnsi="Times New Roman" w:eastAsia="仿宋_GB2312"/>
          <w:sz w:val="32"/>
          <w:szCs w:val="32"/>
          <w:highlight w:val="none"/>
        </w:rPr>
        <w:t>辆、业务用车</w:t>
      </w:r>
      <w:bookmarkStart w:id="164" w:name="PO_part2A12Amount6"/>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11"/>
          <w:szCs w:val="11"/>
          <w:highlight w:val="none"/>
        </w:rPr>
        <w:t xml:space="preserve"> </w:t>
      </w:r>
      <w:bookmarkEnd w:id="164"/>
      <w:r>
        <w:rPr>
          <w:rFonts w:hint="eastAsia" w:ascii="Times New Roman" w:hAnsi="Times New Roman" w:eastAsia="仿宋_GB2312"/>
          <w:sz w:val="32"/>
          <w:szCs w:val="32"/>
          <w:highlight w:val="none"/>
        </w:rPr>
        <w:t>辆、其他用车</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辆等。单价50万元（含）以上的通用设备</w:t>
      </w:r>
      <w:bookmarkStart w:id="165" w:name="PO_part2A12Amount8"/>
      <w:r>
        <w:rPr>
          <w:rFonts w:hint="eastAsia" w:ascii="Times New Roman" w:hAnsi="Times New Roman" w:eastAsia="仿宋_GB2312"/>
          <w:sz w:val="32"/>
          <w:szCs w:val="32"/>
          <w:highlight w:val="none"/>
          <w:lang w:val="en-US" w:eastAsia="zh-CN"/>
        </w:rPr>
        <w:t>49</w:t>
      </w:r>
      <w:r>
        <w:rPr>
          <w:rFonts w:hint="eastAsia" w:ascii="Times New Roman" w:hAnsi="Times New Roman" w:eastAsia="仿宋_GB2312"/>
          <w:sz w:val="11"/>
          <w:szCs w:val="11"/>
          <w:highlight w:val="none"/>
        </w:rPr>
        <w:t xml:space="preserve"> </w:t>
      </w:r>
      <w:bookmarkEnd w:id="165"/>
      <w:r>
        <w:rPr>
          <w:rFonts w:hint="eastAsia" w:ascii="Times New Roman" w:hAnsi="Times New Roman" w:eastAsia="仿宋_GB2312"/>
          <w:sz w:val="32"/>
          <w:szCs w:val="32"/>
          <w:highlight w:val="none"/>
        </w:rPr>
        <w:t>台（套），单价100万元（含）以上的专用设备</w:t>
      </w: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台（套）。</w:t>
      </w:r>
    </w:p>
    <w:p w14:paraId="4542E2F9">
      <w:pPr>
        <w:numPr>
          <w:ilvl w:val="0"/>
          <w:numId w:val="2"/>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26997AB1">
      <w:pPr>
        <w:pStyle w:val="2"/>
        <w:spacing w:after="0" w:line="600" w:lineRule="exact"/>
        <w:ind w:left="0" w:leftChars="0" w:firstLine="640" w:firstLineChars="200"/>
        <w:jc w:val="both"/>
        <w:rPr>
          <w:rFonts w:hint="default" w:ascii="仿宋" w:hAnsi="仿宋" w:eastAsia="仿宋_GB2312" w:cs="仿宋"/>
          <w:sz w:val="31"/>
          <w:szCs w:val="31"/>
          <w:lang w:val="en-US" w:eastAsia="zh-CN"/>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66" w:name="PO_part2A13Amount1"/>
      <w:r>
        <w:rPr>
          <w:rFonts w:ascii="Times New Roman" w:hAnsi="Times New Roman" w:eastAsia="仿宋_GB2312"/>
          <w:kern w:val="2"/>
          <w:sz w:val="32"/>
          <w:szCs w:val="32"/>
        </w:rPr>
        <w:t>内蒙古自治区特种设备检验研究院</w:t>
      </w:r>
      <w:r>
        <w:rPr>
          <w:rFonts w:ascii="Times New Roman" w:hAnsi="Times New Roman" w:eastAsia="仿宋_GB2312"/>
          <w:kern w:val="2"/>
          <w:sz w:val="11"/>
          <w:szCs w:val="11"/>
        </w:rPr>
        <w:t xml:space="preserve"> </w:t>
      </w:r>
      <w:bookmarkEnd w:id="166"/>
      <w:r>
        <w:rPr>
          <w:rFonts w:hint="eastAsia" w:ascii="Times New Roman" w:hAnsi="Times New Roman" w:eastAsia="仿宋_GB2312"/>
          <w:kern w:val="2"/>
          <w:sz w:val="32"/>
          <w:szCs w:val="32"/>
          <w:lang w:eastAsia="zh-CN"/>
        </w:rPr>
        <w:t>2026</w:t>
      </w:r>
      <w:r>
        <w:rPr>
          <w:rFonts w:ascii="Times New Roman" w:hAnsi="Times New Roman" w:eastAsia="仿宋_GB2312"/>
          <w:kern w:val="2"/>
          <w:sz w:val="32"/>
          <w:szCs w:val="32"/>
        </w:rPr>
        <w:t>年度填报绩效目标的预算项目</w:t>
      </w:r>
      <w:bookmarkStart w:id="167" w:name="PO_part2A13Amount2"/>
      <w:r>
        <w:rPr>
          <w:rFonts w:ascii="Times New Roman" w:hAnsi="Times New Roman" w:eastAsia="仿宋_GB2312"/>
          <w:kern w:val="2"/>
          <w:sz w:val="32"/>
          <w:szCs w:val="32"/>
        </w:rPr>
        <w:t>10</w:t>
      </w:r>
      <w:r>
        <w:rPr>
          <w:rFonts w:ascii="Times New Roman" w:hAnsi="Times New Roman" w:eastAsia="仿宋_GB2312"/>
          <w:kern w:val="2"/>
          <w:sz w:val="11"/>
          <w:szCs w:val="11"/>
        </w:rPr>
        <w:t xml:space="preserve"> </w:t>
      </w:r>
      <w:bookmarkEnd w:id="167"/>
      <w:r>
        <w:rPr>
          <w:rFonts w:ascii="Times New Roman" w:hAnsi="Times New Roman" w:eastAsia="仿宋_GB2312"/>
          <w:kern w:val="2"/>
          <w:sz w:val="32"/>
          <w:szCs w:val="32"/>
        </w:rPr>
        <w:t>个，公开项目</w:t>
      </w:r>
      <w:bookmarkStart w:id="168" w:name="PO_part2A13Amount3"/>
      <w:r>
        <w:rPr>
          <w:rFonts w:ascii="Times New Roman" w:hAnsi="Times New Roman" w:eastAsia="仿宋_GB2312"/>
          <w:kern w:val="2"/>
          <w:sz w:val="32"/>
          <w:szCs w:val="32"/>
        </w:rPr>
        <w:t>10</w:t>
      </w:r>
      <w:r>
        <w:rPr>
          <w:rFonts w:ascii="Times New Roman" w:hAnsi="Times New Roman" w:eastAsia="仿宋_GB2312"/>
          <w:kern w:val="2"/>
          <w:sz w:val="11"/>
          <w:szCs w:val="11"/>
        </w:rPr>
        <w:t xml:space="preserve"> </w:t>
      </w:r>
      <w:bookmarkEnd w:id="168"/>
      <w:r>
        <w:rPr>
          <w:rFonts w:ascii="Times New Roman" w:hAnsi="Times New Roman" w:eastAsia="仿宋_GB2312"/>
          <w:kern w:val="2"/>
          <w:sz w:val="32"/>
          <w:szCs w:val="32"/>
        </w:rPr>
        <w:t>个，公开项目占全部预算项目的100%。公开填报绩效目标的项目预算</w:t>
      </w:r>
      <w:bookmarkStart w:id="169" w:name="PO_part2A13Amount4"/>
      <w:r>
        <w:rPr>
          <w:rFonts w:ascii="Times New Roman" w:hAnsi="Times New Roman" w:eastAsia="仿宋_GB2312"/>
          <w:kern w:val="2"/>
          <w:sz w:val="32"/>
          <w:szCs w:val="32"/>
        </w:rPr>
        <w:t>16974.85</w:t>
      </w:r>
      <w:r>
        <w:rPr>
          <w:rFonts w:ascii="Times New Roman" w:hAnsi="Times New Roman" w:eastAsia="仿宋_GB2312"/>
          <w:kern w:val="2"/>
          <w:sz w:val="11"/>
          <w:szCs w:val="11"/>
        </w:rPr>
        <w:t xml:space="preserve"> </w:t>
      </w:r>
      <w:bookmarkEnd w:id="169"/>
      <w:r>
        <w:rPr>
          <w:rFonts w:ascii="Times New Roman" w:hAnsi="Times New Roman" w:eastAsia="仿宋_GB2312"/>
          <w:kern w:val="2"/>
          <w:sz w:val="32"/>
          <w:szCs w:val="32"/>
        </w:rPr>
        <w:t>万元，占全部项目预算的100%。</w:t>
      </w:r>
      <w:r>
        <w:rPr>
          <w:rFonts w:hint="eastAsia" w:ascii="Times New Roman" w:hAnsi="Times New Roman" w:eastAsia="仿宋_GB2312"/>
          <w:kern w:val="2"/>
          <w:sz w:val="32"/>
          <w:szCs w:val="32"/>
          <w:lang w:val="en-US" w:eastAsia="zh-CN"/>
        </w:rPr>
        <w:t xml:space="preserve"> </w:t>
      </w:r>
      <w:bookmarkStart w:id="170" w:name="PO_empty1"/>
      <w:r>
        <w:rPr>
          <w:rFonts w:hint="eastAsia" w:ascii="Times New Roman" w:hAnsi="Times New Roman" w:eastAsia="仿宋_GB2312"/>
          <w:kern w:val="2"/>
          <w:sz w:val="32"/>
          <w:szCs w:val="32"/>
          <w:lang w:val="en-US" w:eastAsia="zh-CN"/>
        </w:rPr>
        <w:t xml:space="preserve">  </w:t>
      </w:r>
    </w:p>
    <w:bookmarkEnd w:id="170"/>
    <w:p w14:paraId="5A5F288C">
      <w:pPr>
        <w:spacing w:line="221" w:lineRule="auto"/>
        <w:rPr>
          <w:rFonts w:hint="eastAsia" w:ascii="仿宋" w:hAnsi="仿宋" w:eastAsia="仿宋" w:cs="仿宋"/>
          <w:sz w:val="36"/>
          <w:szCs w:val="36"/>
        </w:rPr>
      </w:pPr>
    </w:p>
    <w:p w14:paraId="2420F62E">
      <w:pPr>
        <w:pStyle w:val="4"/>
        <w:tabs>
          <w:tab w:val="left" w:pos="4392"/>
        </w:tabs>
        <w:adjustRightInd/>
        <w:snapToGrid/>
        <w:spacing w:before="0" w:after="0" w:line="600" w:lineRule="exact"/>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第三部分  名词解释</w:t>
      </w:r>
    </w:p>
    <w:p w14:paraId="58DFE4AA">
      <w:pPr>
        <w:rPr>
          <w:rFonts w:ascii="Times New Roman" w:hAnsi="Times New Roman" w:cs="Times New Roman"/>
          <w:sz w:val="36"/>
          <w:szCs w:val="44"/>
        </w:rPr>
      </w:pPr>
    </w:p>
    <w:p w14:paraId="0E2658A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1AE5E6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59147A8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3F011D2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2C0F90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0A004F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54D61B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39227B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0D382E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2E40DE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1A9402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十一、住房保障支出（类）支出：</w:t>
      </w:r>
      <w:r>
        <w:rPr>
          <w:rFonts w:hint="eastAsia" w:eastAsia="仿宋_GB2312"/>
          <w:bCs/>
          <w:sz w:val="32"/>
          <w:szCs w:val="32"/>
        </w:rPr>
        <w:t>指机关及</w:t>
      </w:r>
      <w:r>
        <w:rPr>
          <w:rFonts w:hint="eastAsia" w:eastAsia="仿宋_GB2312"/>
          <w:bCs/>
          <w:sz w:val="32"/>
          <w:szCs w:val="32"/>
          <w:lang w:val="en-US" w:eastAsia="zh-CN"/>
        </w:rPr>
        <w:t>直</w:t>
      </w:r>
      <w:r>
        <w:rPr>
          <w:rFonts w:hint="eastAsia" w:eastAsia="仿宋_GB2312"/>
          <w:bCs/>
          <w:sz w:val="32"/>
          <w:szCs w:val="32"/>
        </w:rPr>
        <w:t xml:space="preserve">属事业单位按照国家政策规定用于住房改革方面的支出。 </w:t>
      </w:r>
    </w:p>
    <w:p w14:paraId="7EB1C73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w:t>
      </w:r>
      <w:r>
        <w:rPr>
          <w:rFonts w:hint="eastAsia" w:eastAsia="仿宋_GB2312"/>
          <w:sz w:val="32"/>
          <w:szCs w:val="32"/>
          <w:lang w:val="en-US" w:eastAsia="zh-CN"/>
        </w:rPr>
        <w:t>单位</w:t>
      </w:r>
      <w:r>
        <w:rPr>
          <w:rFonts w:hint="eastAsia" w:eastAsia="仿宋_GB2312"/>
          <w:sz w:val="32"/>
          <w:szCs w:val="32"/>
        </w:rPr>
        <w:t>按照国家政策规定用于医疗方面的支出。</w:t>
      </w:r>
    </w:p>
    <w:p w14:paraId="587F11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516D1C4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3A617C5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4CF3BD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019D457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4FE6C5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0E2656D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46AA5A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25C4B4">
      <w:pPr>
        <w:rPr>
          <w:rFonts w:hint="eastAsia"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p>
    <w:p w14:paraId="7218C22F">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第四部分  预算公开联系方式及信息反馈渠道</w:t>
      </w:r>
    </w:p>
    <w:p w14:paraId="5EF52292">
      <w:pPr>
        <w:pStyle w:val="2"/>
        <w:ind w:left="0" w:leftChars="0" w:firstLine="0"/>
      </w:pPr>
    </w:p>
    <w:p w14:paraId="2F6629F0">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12DBA4BA">
      <w:pPr>
        <w:snapToGrid w:val="0"/>
        <w:spacing w:line="600" w:lineRule="exact"/>
        <w:ind w:firstLine="640" w:firstLineChars="200"/>
        <w:rPr>
          <w:rFonts w:hint="eastAsia" w:ascii="仿宋_GB2312" w:hAnsi="仿宋_GB2312" w:eastAsia="仿宋_GB2312" w:cs="仿宋_GB2312"/>
          <w:sz w:val="2"/>
          <w:szCs w:val="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师娜</w:t>
      </w:r>
      <w:r>
        <w:rPr>
          <w:rFonts w:hint="eastAsia" w:ascii="仿宋_GB2312" w:hAnsi="仿宋_GB2312" w:eastAsia="仿宋_GB2312" w:cs="仿宋_GB2312"/>
          <w:sz w:val="32"/>
          <w:szCs w:val="32"/>
        </w:rPr>
        <w:t xml:space="preserve">       联系电话：</w:t>
      </w:r>
      <w:bookmarkStart w:id="171" w:name="PO_part1A2"/>
      <w:r>
        <w:rPr>
          <w:rFonts w:hint="eastAsia" w:ascii="仿宋_GB2312" w:hAnsi="仿宋_GB2312" w:eastAsia="仿宋_GB2312" w:cs="仿宋_GB2312"/>
          <w:sz w:val="32"/>
          <w:szCs w:val="32"/>
          <w:lang w:val="en-US" w:eastAsia="zh-CN"/>
        </w:rPr>
        <w:t>15847168003</w:t>
      </w:r>
      <w:bookmarkStart w:id="172" w:name="_GoBack"/>
      <w:bookmarkEnd w:id="172"/>
    </w:p>
    <w:bookmarkEnd w:id="171"/>
    <w:p w14:paraId="4C6F2602">
      <w:pPr>
        <w:pStyle w:val="2"/>
        <w:rPr>
          <w:rFonts w:ascii="仿宋_GB2312" w:hAnsi="仿宋_GB2312" w:eastAsia="仿宋_GB2312" w:cs="仿宋_GB2312"/>
          <w:sz w:val="32"/>
          <w:szCs w:val="32"/>
        </w:rPr>
      </w:pPr>
    </w:p>
    <w:p w14:paraId="1DACA214">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第五部分</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2026</w:t>
      </w:r>
      <w:r>
        <w:rPr>
          <w:rFonts w:hint="eastAsia" w:ascii="黑体" w:hAnsi="黑体" w:eastAsia="黑体" w:cs="黑体"/>
          <w:sz w:val="36"/>
          <w:szCs w:val="36"/>
        </w:rPr>
        <w:t>年度单位预算表</w:t>
      </w:r>
    </w:p>
    <w:p w14:paraId="5AF1E56D">
      <w:pPr>
        <w:pStyle w:val="2"/>
        <w:ind w:firstLine="0"/>
      </w:pPr>
    </w:p>
    <w:p w14:paraId="7D4A3C02">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一、收支总表</w:t>
      </w:r>
    </w:p>
    <w:p w14:paraId="204A3C0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二、收入总表</w:t>
      </w:r>
    </w:p>
    <w:p w14:paraId="169785A9">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三、支出总表</w:t>
      </w:r>
    </w:p>
    <w:p w14:paraId="2DB267B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四、财政拨款收支总表</w:t>
      </w:r>
    </w:p>
    <w:p w14:paraId="20BF4AA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五、一般公共预算支出表</w:t>
      </w:r>
    </w:p>
    <w:p w14:paraId="2CB7834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六、一般公共预算基本支出表</w:t>
      </w:r>
    </w:p>
    <w:p w14:paraId="5DC8B6B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七、一般公共预算“三公”经费支出表</w:t>
      </w:r>
    </w:p>
    <w:p w14:paraId="42CAC20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八、政府性基金预算支出表</w:t>
      </w:r>
    </w:p>
    <w:p w14:paraId="25025FF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九、国有资本经营预算支出表</w:t>
      </w:r>
    </w:p>
    <w:p w14:paraId="72EE926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十、项目支出表</w:t>
      </w:r>
    </w:p>
    <w:p w14:paraId="434DAAE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十一、项目绩效目标表</w:t>
      </w:r>
    </w:p>
    <w:p w14:paraId="080403B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十二、政府采购预算表</w:t>
      </w:r>
    </w:p>
    <w:p w14:paraId="5274257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p w14:paraId="4D96029D">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1、预算公开表见附表</w:t>
      </w:r>
    </w:p>
    <w:p w14:paraId="077D3413">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red"/>
        </w:rPr>
      </w:pPr>
      <w:r>
        <w:rPr>
          <w:rFonts w:hint="default" w:ascii="Times New Roman" w:hAnsi="Times New Roman" w:eastAsia="仿宋_GB2312" w:cs="Times New Roman"/>
          <w:sz w:val="32"/>
          <w:szCs w:val="32"/>
        </w:rPr>
        <w:t>2、按预算公开编制要求，预算公开报告及公开表的计数单位为万元，而</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年预算编制是以元为计数单位，因此小数点后第二位存在四舍五入的差异。</w:t>
      </w:r>
    </w:p>
    <w:sectPr>
      <w:footerReference r:id="rId6" w:type="default"/>
      <w:pgSz w:w="11911" w:h="16838"/>
      <w:pgMar w:top="1440" w:right="1242" w:bottom="1440" w:left="1242" w:header="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599F">
    <w:pPr>
      <w:spacing w:before="1" w:line="179" w:lineRule="auto"/>
      <w:ind w:left="4123"/>
      <w:rPr>
        <w:rFonts w:hint="eastAsia"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631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503A5">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1E1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116C"/>
    <w:multiLevelType w:val="singleLevel"/>
    <w:tmpl w:val="86E4116C"/>
    <w:lvl w:ilvl="0" w:tentative="0">
      <w:start w:val="14"/>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pPr>
        <w:ind w:left="-1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trackedChanges" w:enforcement="0"/>
  <w:defaultTabStop w:val="420"/>
  <w:drawingGridHorizontalSpacing w:val="210"/>
  <w:drawingGridVerticalSpacing w:val="99999990"/>
  <w:displayHorizont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1NjJlNmZiNWZiMTE1MGNjZjhiZDgwZDIwMjgifQ=="/>
  </w:docVars>
  <w:rsids>
    <w:rsidRoot w:val="22D905B4"/>
    <w:rsid w:val="00120E6A"/>
    <w:rsid w:val="0013264E"/>
    <w:rsid w:val="00164C26"/>
    <w:rsid w:val="00247343"/>
    <w:rsid w:val="002630BB"/>
    <w:rsid w:val="00496DA9"/>
    <w:rsid w:val="005F481F"/>
    <w:rsid w:val="008E2B9C"/>
    <w:rsid w:val="00921C18"/>
    <w:rsid w:val="00953D9C"/>
    <w:rsid w:val="00A12741"/>
    <w:rsid w:val="00B07506"/>
    <w:rsid w:val="00C36B5B"/>
    <w:rsid w:val="00C65681"/>
    <w:rsid w:val="00C77C99"/>
    <w:rsid w:val="00CB5A10"/>
    <w:rsid w:val="00E2358D"/>
    <w:rsid w:val="00E32D03"/>
    <w:rsid w:val="01066A48"/>
    <w:rsid w:val="01184A7C"/>
    <w:rsid w:val="017C6F6F"/>
    <w:rsid w:val="01B14C06"/>
    <w:rsid w:val="01D54D98"/>
    <w:rsid w:val="01E131EB"/>
    <w:rsid w:val="01E569C5"/>
    <w:rsid w:val="01E57643"/>
    <w:rsid w:val="01FD42EF"/>
    <w:rsid w:val="020342D4"/>
    <w:rsid w:val="02131818"/>
    <w:rsid w:val="022B68F5"/>
    <w:rsid w:val="022E26FA"/>
    <w:rsid w:val="023A4BFB"/>
    <w:rsid w:val="02493090"/>
    <w:rsid w:val="02592638"/>
    <w:rsid w:val="026003DA"/>
    <w:rsid w:val="02753E85"/>
    <w:rsid w:val="027F2F56"/>
    <w:rsid w:val="02895B83"/>
    <w:rsid w:val="0292528D"/>
    <w:rsid w:val="02963DFC"/>
    <w:rsid w:val="02BF3353"/>
    <w:rsid w:val="02CB1CF7"/>
    <w:rsid w:val="02F474A0"/>
    <w:rsid w:val="0319485D"/>
    <w:rsid w:val="03217B69"/>
    <w:rsid w:val="032C31E7"/>
    <w:rsid w:val="03411FB9"/>
    <w:rsid w:val="0361443B"/>
    <w:rsid w:val="03957518"/>
    <w:rsid w:val="03AA2C2D"/>
    <w:rsid w:val="03BA2068"/>
    <w:rsid w:val="03D14221"/>
    <w:rsid w:val="03D70723"/>
    <w:rsid w:val="03E174CB"/>
    <w:rsid w:val="03F1578E"/>
    <w:rsid w:val="03F46352"/>
    <w:rsid w:val="04315B76"/>
    <w:rsid w:val="044F33E9"/>
    <w:rsid w:val="04806B11"/>
    <w:rsid w:val="04C2712A"/>
    <w:rsid w:val="04E11CA6"/>
    <w:rsid w:val="04E35A1E"/>
    <w:rsid w:val="04E41CE1"/>
    <w:rsid w:val="04FE4E54"/>
    <w:rsid w:val="04FF3EDA"/>
    <w:rsid w:val="050B63D0"/>
    <w:rsid w:val="051C5D73"/>
    <w:rsid w:val="051D4C38"/>
    <w:rsid w:val="0523406D"/>
    <w:rsid w:val="053962B4"/>
    <w:rsid w:val="053E0EA6"/>
    <w:rsid w:val="056A157F"/>
    <w:rsid w:val="056F229A"/>
    <w:rsid w:val="05A12042"/>
    <w:rsid w:val="05A80329"/>
    <w:rsid w:val="05A87400"/>
    <w:rsid w:val="05B9677F"/>
    <w:rsid w:val="05C173E2"/>
    <w:rsid w:val="05C34B4B"/>
    <w:rsid w:val="05E25CD6"/>
    <w:rsid w:val="061B2F96"/>
    <w:rsid w:val="062B0959"/>
    <w:rsid w:val="0648128B"/>
    <w:rsid w:val="06541360"/>
    <w:rsid w:val="066E22B9"/>
    <w:rsid w:val="067D77AC"/>
    <w:rsid w:val="06A05249"/>
    <w:rsid w:val="06F21EEC"/>
    <w:rsid w:val="06F21F49"/>
    <w:rsid w:val="06F27A12"/>
    <w:rsid w:val="07080554"/>
    <w:rsid w:val="070D3824"/>
    <w:rsid w:val="070E7163"/>
    <w:rsid w:val="072E6CF9"/>
    <w:rsid w:val="07750F90"/>
    <w:rsid w:val="078057A6"/>
    <w:rsid w:val="078A03D3"/>
    <w:rsid w:val="079A71A9"/>
    <w:rsid w:val="07A144AB"/>
    <w:rsid w:val="07B767DD"/>
    <w:rsid w:val="07C774B3"/>
    <w:rsid w:val="07CA4C73"/>
    <w:rsid w:val="07DB32D6"/>
    <w:rsid w:val="07E15B19"/>
    <w:rsid w:val="08122176"/>
    <w:rsid w:val="08275C22"/>
    <w:rsid w:val="082F2D28"/>
    <w:rsid w:val="085D7896"/>
    <w:rsid w:val="085E716A"/>
    <w:rsid w:val="08637F96"/>
    <w:rsid w:val="086D0C85"/>
    <w:rsid w:val="0874513E"/>
    <w:rsid w:val="08A35EA0"/>
    <w:rsid w:val="08A96637"/>
    <w:rsid w:val="08B80F70"/>
    <w:rsid w:val="08BC75DB"/>
    <w:rsid w:val="08F5703A"/>
    <w:rsid w:val="08F85810"/>
    <w:rsid w:val="0901569F"/>
    <w:rsid w:val="09383E5F"/>
    <w:rsid w:val="093E6DAF"/>
    <w:rsid w:val="094B1DE4"/>
    <w:rsid w:val="095618E3"/>
    <w:rsid w:val="095C7B4D"/>
    <w:rsid w:val="095D5673"/>
    <w:rsid w:val="0972111F"/>
    <w:rsid w:val="09727371"/>
    <w:rsid w:val="097924AD"/>
    <w:rsid w:val="09852AEF"/>
    <w:rsid w:val="09980258"/>
    <w:rsid w:val="099F5C8C"/>
    <w:rsid w:val="09A11A04"/>
    <w:rsid w:val="09A908B8"/>
    <w:rsid w:val="09D37D55"/>
    <w:rsid w:val="09EE3807"/>
    <w:rsid w:val="09FB55B8"/>
    <w:rsid w:val="0A024477"/>
    <w:rsid w:val="0A12632F"/>
    <w:rsid w:val="0A36742C"/>
    <w:rsid w:val="0A40746F"/>
    <w:rsid w:val="0A6071C9"/>
    <w:rsid w:val="0A636CB9"/>
    <w:rsid w:val="0A886720"/>
    <w:rsid w:val="0A9875DB"/>
    <w:rsid w:val="0A9926DB"/>
    <w:rsid w:val="0A9E5F43"/>
    <w:rsid w:val="0AC056EC"/>
    <w:rsid w:val="0ADD4CBE"/>
    <w:rsid w:val="0AE95411"/>
    <w:rsid w:val="0B093D05"/>
    <w:rsid w:val="0B0E4E77"/>
    <w:rsid w:val="0B1042EB"/>
    <w:rsid w:val="0B1B16A5"/>
    <w:rsid w:val="0B354AFA"/>
    <w:rsid w:val="0B3568A8"/>
    <w:rsid w:val="0B3E1BA9"/>
    <w:rsid w:val="0B517B23"/>
    <w:rsid w:val="0B6131F9"/>
    <w:rsid w:val="0B68664F"/>
    <w:rsid w:val="0B6B2F9C"/>
    <w:rsid w:val="0B6E6353"/>
    <w:rsid w:val="0B8779F6"/>
    <w:rsid w:val="0BE95A7C"/>
    <w:rsid w:val="0C3721AC"/>
    <w:rsid w:val="0C3E46FA"/>
    <w:rsid w:val="0C4274CE"/>
    <w:rsid w:val="0C4E1FB1"/>
    <w:rsid w:val="0C807FF6"/>
    <w:rsid w:val="0C9D15CB"/>
    <w:rsid w:val="0CA448C3"/>
    <w:rsid w:val="0CA463E0"/>
    <w:rsid w:val="0CA670AA"/>
    <w:rsid w:val="0CC06645"/>
    <w:rsid w:val="0CD520F0"/>
    <w:rsid w:val="0CD841D1"/>
    <w:rsid w:val="0CE340E1"/>
    <w:rsid w:val="0D044989"/>
    <w:rsid w:val="0D143A38"/>
    <w:rsid w:val="0D1F511A"/>
    <w:rsid w:val="0D431C21"/>
    <w:rsid w:val="0D676AC1"/>
    <w:rsid w:val="0D7968D0"/>
    <w:rsid w:val="0D9773A6"/>
    <w:rsid w:val="0D9A1C1F"/>
    <w:rsid w:val="0DC3019B"/>
    <w:rsid w:val="0DEA1BCB"/>
    <w:rsid w:val="0DFE5677"/>
    <w:rsid w:val="0E2A021A"/>
    <w:rsid w:val="0E4D76BC"/>
    <w:rsid w:val="0E572FD9"/>
    <w:rsid w:val="0E5C61D6"/>
    <w:rsid w:val="0E9C4A15"/>
    <w:rsid w:val="0EAA4EB7"/>
    <w:rsid w:val="0ECE3456"/>
    <w:rsid w:val="0ED40186"/>
    <w:rsid w:val="0EF260D4"/>
    <w:rsid w:val="0F023482"/>
    <w:rsid w:val="0F06336E"/>
    <w:rsid w:val="0F2316E3"/>
    <w:rsid w:val="0F490B74"/>
    <w:rsid w:val="0F531BD1"/>
    <w:rsid w:val="0F570EA2"/>
    <w:rsid w:val="0F707EAE"/>
    <w:rsid w:val="0F97209E"/>
    <w:rsid w:val="0F9A13CF"/>
    <w:rsid w:val="0FA35845"/>
    <w:rsid w:val="0FAC6852"/>
    <w:rsid w:val="0FC87CEA"/>
    <w:rsid w:val="0FDA17CC"/>
    <w:rsid w:val="0FEF171B"/>
    <w:rsid w:val="10225C62"/>
    <w:rsid w:val="102E1B18"/>
    <w:rsid w:val="10352EA6"/>
    <w:rsid w:val="105570A4"/>
    <w:rsid w:val="10622FC7"/>
    <w:rsid w:val="10BD5C30"/>
    <w:rsid w:val="10EE0112"/>
    <w:rsid w:val="10FD7E68"/>
    <w:rsid w:val="11005262"/>
    <w:rsid w:val="11072A94"/>
    <w:rsid w:val="111744CE"/>
    <w:rsid w:val="11174CD0"/>
    <w:rsid w:val="112265BF"/>
    <w:rsid w:val="112A0531"/>
    <w:rsid w:val="113B4A02"/>
    <w:rsid w:val="115E2DC3"/>
    <w:rsid w:val="116577BB"/>
    <w:rsid w:val="11701B80"/>
    <w:rsid w:val="11785740"/>
    <w:rsid w:val="117A5014"/>
    <w:rsid w:val="118337FB"/>
    <w:rsid w:val="11857B93"/>
    <w:rsid w:val="119F4A7B"/>
    <w:rsid w:val="11A77DD3"/>
    <w:rsid w:val="11B33833"/>
    <w:rsid w:val="11BD3153"/>
    <w:rsid w:val="11D17841"/>
    <w:rsid w:val="11D61E03"/>
    <w:rsid w:val="11F272A1"/>
    <w:rsid w:val="11FC3C7B"/>
    <w:rsid w:val="120B0362"/>
    <w:rsid w:val="121F5BBC"/>
    <w:rsid w:val="12280168"/>
    <w:rsid w:val="123378BD"/>
    <w:rsid w:val="12546116"/>
    <w:rsid w:val="126B64B9"/>
    <w:rsid w:val="126B6F53"/>
    <w:rsid w:val="126E1AC1"/>
    <w:rsid w:val="127759F8"/>
    <w:rsid w:val="12830E42"/>
    <w:rsid w:val="12944F5C"/>
    <w:rsid w:val="129739FE"/>
    <w:rsid w:val="12C549B5"/>
    <w:rsid w:val="12CF2038"/>
    <w:rsid w:val="12D50968"/>
    <w:rsid w:val="12E070F9"/>
    <w:rsid w:val="12EC0194"/>
    <w:rsid w:val="12F165FA"/>
    <w:rsid w:val="12FE1C75"/>
    <w:rsid w:val="131366A6"/>
    <w:rsid w:val="13272F7A"/>
    <w:rsid w:val="13482EF0"/>
    <w:rsid w:val="134E5317"/>
    <w:rsid w:val="138008DC"/>
    <w:rsid w:val="13803442"/>
    <w:rsid w:val="13B567D8"/>
    <w:rsid w:val="13CB57FE"/>
    <w:rsid w:val="13E50F0A"/>
    <w:rsid w:val="13F13588"/>
    <w:rsid w:val="13F35552"/>
    <w:rsid w:val="13FF1D23"/>
    <w:rsid w:val="140E2C8A"/>
    <w:rsid w:val="140E7C96"/>
    <w:rsid w:val="144B713C"/>
    <w:rsid w:val="1468759C"/>
    <w:rsid w:val="14B720DC"/>
    <w:rsid w:val="14CD18FF"/>
    <w:rsid w:val="14CD1C89"/>
    <w:rsid w:val="14D709D0"/>
    <w:rsid w:val="14D861AA"/>
    <w:rsid w:val="14F137B0"/>
    <w:rsid w:val="150A67C0"/>
    <w:rsid w:val="15115C90"/>
    <w:rsid w:val="15214433"/>
    <w:rsid w:val="1549106B"/>
    <w:rsid w:val="154F0566"/>
    <w:rsid w:val="15604521"/>
    <w:rsid w:val="15726903"/>
    <w:rsid w:val="1578138A"/>
    <w:rsid w:val="15A22D8C"/>
    <w:rsid w:val="15AB6C0F"/>
    <w:rsid w:val="15AF7257"/>
    <w:rsid w:val="15B609B3"/>
    <w:rsid w:val="15B66C43"/>
    <w:rsid w:val="15BB3E4D"/>
    <w:rsid w:val="15DB5367"/>
    <w:rsid w:val="15DE0CF5"/>
    <w:rsid w:val="15E35542"/>
    <w:rsid w:val="15FF23F7"/>
    <w:rsid w:val="16315EBE"/>
    <w:rsid w:val="16331C36"/>
    <w:rsid w:val="16810BF3"/>
    <w:rsid w:val="169326D4"/>
    <w:rsid w:val="16B8213B"/>
    <w:rsid w:val="16BB7DAC"/>
    <w:rsid w:val="16BF796D"/>
    <w:rsid w:val="16C531D6"/>
    <w:rsid w:val="16F2564D"/>
    <w:rsid w:val="17084E70"/>
    <w:rsid w:val="170F5060"/>
    <w:rsid w:val="171D1FCA"/>
    <w:rsid w:val="17345C65"/>
    <w:rsid w:val="173D23C0"/>
    <w:rsid w:val="17444EB7"/>
    <w:rsid w:val="175956CC"/>
    <w:rsid w:val="176E561B"/>
    <w:rsid w:val="1773582D"/>
    <w:rsid w:val="1775635C"/>
    <w:rsid w:val="17793FC0"/>
    <w:rsid w:val="17914C67"/>
    <w:rsid w:val="179411ED"/>
    <w:rsid w:val="17BF71A9"/>
    <w:rsid w:val="17C446C0"/>
    <w:rsid w:val="17D02652"/>
    <w:rsid w:val="17D83747"/>
    <w:rsid w:val="18073ED1"/>
    <w:rsid w:val="18101632"/>
    <w:rsid w:val="181A30AD"/>
    <w:rsid w:val="181F78CD"/>
    <w:rsid w:val="18267CA4"/>
    <w:rsid w:val="183471DC"/>
    <w:rsid w:val="18500874"/>
    <w:rsid w:val="18950986"/>
    <w:rsid w:val="18BC0D75"/>
    <w:rsid w:val="18BC70D4"/>
    <w:rsid w:val="18ED6A14"/>
    <w:rsid w:val="190052A3"/>
    <w:rsid w:val="19071251"/>
    <w:rsid w:val="19263CD4"/>
    <w:rsid w:val="192F59D1"/>
    <w:rsid w:val="193058E6"/>
    <w:rsid w:val="194B54E8"/>
    <w:rsid w:val="19572330"/>
    <w:rsid w:val="195E6751"/>
    <w:rsid w:val="19A15454"/>
    <w:rsid w:val="19BC2A56"/>
    <w:rsid w:val="19D81AB2"/>
    <w:rsid w:val="19DE635C"/>
    <w:rsid w:val="1A057317"/>
    <w:rsid w:val="1A0C0D02"/>
    <w:rsid w:val="1A101E4A"/>
    <w:rsid w:val="1A18186E"/>
    <w:rsid w:val="1A1B5A97"/>
    <w:rsid w:val="1A2D1423"/>
    <w:rsid w:val="1A492AA3"/>
    <w:rsid w:val="1A497C7A"/>
    <w:rsid w:val="1A584361"/>
    <w:rsid w:val="1A5A6FE3"/>
    <w:rsid w:val="1A5D54D3"/>
    <w:rsid w:val="1A6C3968"/>
    <w:rsid w:val="1A8A3DEE"/>
    <w:rsid w:val="1A95764C"/>
    <w:rsid w:val="1A9F6725"/>
    <w:rsid w:val="1AA36FBF"/>
    <w:rsid w:val="1AAC0C10"/>
    <w:rsid w:val="1B0A56DF"/>
    <w:rsid w:val="1B1078D3"/>
    <w:rsid w:val="1B14756A"/>
    <w:rsid w:val="1B1F6C2C"/>
    <w:rsid w:val="1B25303E"/>
    <w:rsid w:val="1B440441"/>
    <w:rsid w:val="1B5215DA"/>
    <w:rsid w:val="1B58691F"/>
    <w:rsid w:val="1B634D6B"/>
    <w:rsid w:val="1B6A60FA"/>
    <w:rsid w:val="1B70159F"/>
    <w:rsid w:val="1B763EC3"/>
    <w:rsid w:val="1B852BE2"/>
    <w:rsid w:val="1B97409A"/>
    <w:rsid w:val="1BA57132"/>
    <w:rsid w:val="1BA61106"/>
    <w:rsid w:val="1BAD4DAF"/>
    <w:rsid w:val="1BC6429E"/>
    <w:rsid w:val="1BE134E0"/>
    <w:rsid w:val="1BFE5742"/>
    <w:rsid w:val="1C45434E"/>
    <w:rsid w:val="1C5A24DF"/>
    <w:rsid w:val="1C5B3C94"/>
    <w:rsid w:val="1C5F3784"/>
    <w:rsid w:val="1C9553F8"/>
    <w:rsid w:val="1CA8012C"/>
    <w:rsid w:val="1CB33AD0"/>
    <w:rsid w:val="1CB87339"/>
    <w:rsid w:val="1CC63804"/>
    <w:rsid w:val="1CD35F20"/>
    <w:rsid w:val="1CE70716"/>
    <w:rsid w:val="1D0B6A5C"/>
    <w:rsid w:val="1D1E3640"/>
    <w:rsid w:val="1D507ADD"/>
    <w:rsid w:val="1D775085"/>
    <w:rsid w:val="1D8E29C0"/>
    <w:rsid w:val="1D9A07EC"/>
    <w:rsid w:val="1D9E208B"/>
    <w:rsid w:val="1DF6144C"/>
    <w:rsid w:val="1E0423C5"/>
    <w:rsid w:val="1E146D3B"/>
    <w:rsid w:val="1E3C5517"/>
    <w:rsid w:val="1E403142"/>
    <w:rsid w:val="1E442005"/>
    <w:rsid w:val="1E733517"/>
    <w:rsid w:val="1E7554E1"/>
    <w:rsid w:val="1EA44D1C"/>
    <w:rsid w:val="1EB11F91"/>
    <w:rsid w:val="1EDC3843"/>
    <w:rsid w:val="1EDD6BE3"/>
    <w:rsid w:val="1EE0071E"/>
    <w:rsid w:val="1EE655CC"/>
    <w:rsid w:val="1EEE4458"/>
    <w:rsid w:val="1F022AED"/>
    <w:rsid w:val="1F205219"/>
    <w:rsid w:val="1F29350C"/>
    <w:rsid w:val="1F2B2AFE"/>
    <w:rsid w:val="1F374545"/>
    <w:rsid w:val="1F50506D"/>
    <w:rsid w:val="1F5570C1"/>
    <w:rsid w:val="1F732CE8"/>
    <w:rsid w:val="1F9F6868"/>
    <w:rsid w:val="1FBA5176"/>
    <w:rsid w:val="1FBE23F0"/>
    <w:rsid w:val="1FCA360B"/>
    <w:rsid w:val="1FDA1374"/>
    <w:rsid w:val="1FF73CD4"/>
    <w:rsid w:val="20062169"/>
    <w:rsid w:val="20087C8F"/>
    <w:rsid w:val="203171E6"/>
    <w:rsid w:val="2039439C"/>
    <w:rsid w:val="204407B1"/>
    <w:rsid w:val="205E7CEB"/>
    <w:rsid w:val="206D44C6"/>
    <w:rsid w:val="206F7D0E"/>
    <w:rsid w:val="207033FB"/>
    <w:rsid w:val="207D3BDD"/>
    <w:rsid w:val="20831503"/>
    <w:rsid w:val="209266DF"/>
    <w:rsid w:val="20A83220"/>
    <w:rsid w:val="20BB7475"/>
    <w:rsid w:val="20C444FE"/>
    <w:rsid w:val="20DB1848"/>
    <w:rsid w:val="20DE6C42"/>
    <w:rsid w:val="20E92D0F"/>
    <w:rsid w:val="20EC75B1"/>
    <w:rsid w:val="20FA7076"/>
    <w:rsid w:val="213845A4"/>
    <w:rsid w:val="213866AB"/>
    <w:rsid w:val="213D1BBA"/>
    <w:rsid w:val="214E3DE3"/>
    <w:rsid w:val="215A451A"/>
    <w:rsid w:val="21626989"/>
    <w:rsid w:val="216C3615"/>
    <w:rsid w:val="2170626B"/>
    <w:rsid w:val="21874F17"/>
    <w:rsid w:val="21A97EF3"/>
    <w:rsid w:val="21B83E67"/>
    <w:rsid w:val="21C332BA"/>
    <w:rsid w:val="21C36564"/>
    <w:rsid w:val="21D249F9"/>
    <w:rsid w:val="21DE339D"/>
    <w:rsid w:val="21E32762"/>
    <w:rsid w:val="21E549AF"/>
    <w:rsid w:val="21F33B12"/>
    <w:rsid w:val="221A1EFC"/>
    <w:rsid w:val="22285571"/>
    <w:rsid w:val="22460F43"/>
    <w:rsid w:val="22596EC8"/>
    <w:rsid w:val="22742880"/>
    <w:rsid w:val="22B44C08"/>
    <w:rsid w:val="22CA3922"/>
    <w:rsid w:val="22D905B4"/>
    <w:rsid w:val="22DD5403"/>
    <w:rsid w:val="22E54C87"/>
    <w:rsid w:val="22F369D5"/>
    <w:rsid w:val="23241284"/>
    <w:rsid w:val="23386ADD"/>
    <w:rsid w:val="233D2346"/>
    <w:rsid w:val="234A05BF"/>
    <w:rsid w:val="235558E1"/>
    <w:rsid w:val="2358717F"/>
    <w:rsid w:val="23735D67"/>
    <w:rsid w:val="239A1546"/>
    <w:rsid w:val="23A12365"/>
    <w:rsid w:val="23B1063E"/>
    <w:rsid w:val="23C30A9D"/>
    <w:rsid w:val="23CA3163"/>
    <w:rsid w:val="23CD3AA8"/>
    <w:rsid w:val="23DC1B5F"/>
    <w:rsid w:val="23E24555"/>
    <w:rsid w:val="23E34921"/>
    <w:rsid w:val="241A52B3"/>
    <w:rsid w:val="24246EC1"/>
    <w:rsid w:val="243B6866"/>
    <w:rsid w:val="24634832"/>
    <w:rsid w:val="24697450"/>
    <w:rsid w:val="246C2EE2"/>
    <w:rsid w:val="249E0AD9"/>
    <w:rsid w:val="24E32932"/>
    <w:rsid w:val="24EF7670"/>
    <w:rsid w:val="24FB4266"/>
    <w:rsid w:val="251D41DD"/>
    <w:rsid w:val="252E7EED"/>
    <w:rsid w:val="2533755C"/>
    <w:rsid w:val="25357778"/>
    <w:rsid w:val="25382DC5"/>
    <w:rsid w:val="25387269"/>
    <w:rsid w:val="2543137B"/>
    <w:rsid w:val="257064E3"/>
    <w:rsid w:val="25745245"/>
    <w:rsid w:val="257D4C7B"/>
    <w:rsid w:val="2584425C"/>
    <w:rsid w:val="259A3A7F"/>
    <w:rsid w:val="25D23219"/>
    <w:rsid w:val="25DD571A"/>
    <w:rsid w:val="26025757"/>
    <w:rsid w:val="261E645E"/>
    <w:rsid w:val="2629095F"/>
    <w:rsid w:val="2641331F"/>
    <w:rsid w:val="26546F2F"/>
    <w:rsid w:val="265C7152"/>
    <w:rsid w:val="267267AA"/>
    <w:rsid w:val="26770F44"/>
    <w:rsid w:val="269E759F"/>
    <w:rsid w:val="26AB5818"/>
    <w:rsid w:val="26B26BA7"/>
    <w:rsid w:val="26D22DA5"/>
    <w:rsid w:val="2701786C"/>
    <w:rsid w:val="270D56CC"/>
    <w:rsid w:val="270F7B55"/>
    <w:rsid w:val="27286E69"/>
    <w:rsid w:val="27321263"/>
    <w:rsid w:val="27624129"/>
    <w:rsid w:val="27985ED8"/>
    <w:rsid w:val="27DB5851"/>
    <w:rsid w:val="27F2197C"/>
    <w:rsid w:val="27F46410"/>
    <w:rsid w:val="27FC155E"/>
    <w:rsid w:val="282C7AB8"/>
    <w:rsid w:val="28A7153D"/>
    <w:rsid w:val="28E84B02"/>
    <w:rsid w:val="28F72F97"/>
    <w:rsid w:val="29075A9A"/>
    <w:rsid w:val="29211DC2"/>
    <w:rsid w:val="29285178"/>
    <w:rsid w:val="29341AF5"/>
    <w:rsid w:val="29475CCC"/>
    <w:rsid w:val="294F2DD3"/>
    <w:rsid w:val="29542197"/>
    <w:rsid w:val="298F4F7D"/>
    <w:rsid w:val="299541D4"/>
    <w:rsid w:val="29954C89"/>
    <w:rsid w:val="29A24CB1"/>
    <w:rsid w:val="29A9603F"/>
    <w:rsid w:val="29AA4AAD"/>
    <w:rsid w:val="29B6075C"/>
    <w:rsid w:val="2A01303C"/>
    <w:rsid w:val="2A0E0598"/>
    <w:rsid w:val="2A11146E"/>
    <w:rsid w:val="2A12052C"/>
    <w:rsid w:val="2A2D4009"/>
    <w:rsid w:val="2A2D5A7F"/>
    <w:rsid w:val="2A497119"/>
    <w:rsid w:val="2A636B36"/>
    <w:rsid w:val="2A6D1762"/>
    <w:rsid w:val="2ABC7FF4"/>
    <w:rsid w:val="2AC63CCF"/>
    <w:rsid w:val="2ADE61BC"/>
    <w:rsid w:val="2B027051"/>
    <w:rsid w:val="2B0551B1"/>
    <w:rsid w:val="2B0B4AD7"/>
    <w:rsid w:val="2B1565CF"/>
    <w:rsid w:val="2B1C4D6B"/>
    <w:rsid w:val="2B3109E2"/>
    <w:rsid w:val="2B3B78B5"/>
    <w:rsid w:val="2B577997"/>
    <w:rsid w:val="2B817E3F"/>
    <w:rsid w:val="2B85488A"/>
    <w:rsid w:val="2B856638"/>
    <w:rsid w:val="2B8D3E6A"/>
    <w:rsid w:val="2B91322F"/>
    <w:rsid w:val="2B954639"/>
    <w:rsid w:val="2BA80578"/>
    <w:rsid w:val="2BAF6354"/>
    <w:rsid w:val="2BB1742D"/>
    <w:rsid w:val="2BC067AF"/>
    <w:rsid w:val="2BE45A54"/>
    <w:rsid w:val="2BEF4B3A"/>
    <w:rsid w:val="2BEF7F55"/>
    <w:rsid w:val="2BF81500"/>
    <w:rsid w:val="2C163855"/>
    <w:rsid w:val="2C2C11A9"/>
    <w:rsid w:val="2C464019"/>
    <w:rsid w:val="2C567FD4"/>
    <w:rsid w:val="2C622E1D"/>
    <w:rsid w:val="2C653E27"/>
    <w:rsid w:val="2C7F577D"/>
    <w:rsid w:val="2C8763E0"/>
    <w:rsid w:val="2CA77CA8"/>
    <w:rsid w:val="2CB25B52"/>
    <w:rsid w:val="2CB714D8"/>
    <w:rsid w:val="2CD45AC9"/>
    <w:rsid w:val="2CDE17FC"/>
    <w:rsid w:val="2CEA709A"/>
    <w:rsid w:val="2D320A41"/>
    <w:rsid w:val="2D346567"/>
    <w:rsid w:val="2D406CBA"/>
    <w:rsid w:val="2D450775"/>
    <w:rsid w:val="2D460049"/>
    <w:rsid w:val="2D4B484E"/>
    <w:rsid w:val="2D5877CF"/>
    <w:rsid w:val="2D591084"/>
    <w:rsid w:val="2D6819FE"/>
    <w:rsid w:val="2D6F134E"/>
    <w:rsid w:val="2D7340DD"/>
    <w:rsid w:val="2D7B4196"/>
    <w:rsid w:val="2D8A262B"/>
    <w:rsid w:val="2DA43BBB"/>
    <w:rsid w:val="2DA95518"/>
    <w:rsid w:val="2DCE005C"/>
    <w:rsid w:val="2DD65871"/>
    <w:rsid w:val="2DDB4C35"/>
    <w:rsid w:val="2E13617D"/>
    <w:rsid w:val="2E1665D1"/>
    <w:rsid w:val="2E1A39AF"/>
    <w:rsid w:val="2E291E44"/>
    <w:rsid w:val="2E4667E7"/>
    <w:rsid w:val="2E4A3E34"/>
    <w:rsid w:val="2E556795"/>
    <w:rsid w:val="2E5B0E01"/>
    <w:rsid w:val="2E60796D"/>
    <w:rsid w:val="2E664D30"/>
    <w:rsid w:val="2E9B7198"/>
    <w:rsid w:val="2EA25753"/>
    <w:rsid w:val="2EB61431"/>
    <w:rsid w:val="2EC721CD"/>
    <w:rsid w:val="2ECE6063"/>
    <w:rsid w:val="2ED925F4"/>
    <w:rsid w:val="2EE93382"/>
    <w:rsid w:val="2EEC3C2A"/>
    <w:rsid w:val="2EEC4152"/>
    <w:rsid w:val="2EF011A9"/>
    <w:rsid w:val="2F1321AD"/>
    <w:rsid w:val="2F1403FE"/>
    <w:rsid w:val="2F723377"/>
    <w:rsid w:val="2FB120F1"/>
    <w:rsid w:val="2FB67708"/>
    <w:rsid w:val="2FC17E5A"/>
    <w:rsid w:val="2FC376E5"/>
    <w:rsid w:val="2FC82BFF"/>
    <w:rsid w:val="2FCA0440"/>
    <w:rsid w:val="2FCC6F2B"/>
    <w:rsid w:val="2FD80210"/>
    <w:rsid w:val="2FD80372"/>
    <w:rsid w:val="2FE75B13"/>
    <w:rsid w:val="2FEC4ED7"/>
    <w:rsid w:val="2FEE24CD"/>
    <w:rsid w:val="2FF95846"/>
    <w:rsid w:val="301A6B14"/>
    <w:rsid w:val="30275F10"/>
    <w:rsid w:val="30317EA7"/>
    <w:rsid w:val="3038011D"/>
    <w:rsid w:val="30696528"/>
    <w:rsid w:val="3071674E"/>
    <w:rsid w:val="3078677F"/>
    <w:rsid w:val="308C1A04"/>
    <w:rsid w:val="3092366E"/>
    <w:rsid w:val="309A4933"/>
    <w:rsid w:val="30B654E5"/>
    <w:rsid w:val="30BF1DA1"/>
    <w:rsid w:val="30C13C6B"/>
    <w:rsid w:val="30C776F3"/>
    <w:rsid w:val="30CD1A42"/>
    <w:rsid w:val="30CE0F36"/>
    <w:rsid w:val="30E402A4"/>
    <w:rsid w:val="3106646D"/>
    <w:rsid w:val="310B546B"/>
    <w:rsid w:val="311B745B"/>
    <w:rsid w:val="311F196C"/>
    <w:rsid w:val="314C7472"/>
    <w:rsid w:val="318C4BC4"/>
    <w:rsid w:val="31905D36"/>
    <w:rsid w:val="31992E3D"/>
    <w:rsid w:val="31BB4C14"/>
    <w:rsid w:val="31C37EBA"/>
    <w:rsid w:val="320F30FF"/>
    <w:rsid w:val="321675D6"/>
    <w:rsid w:val="32275CB2"/>
    <w:rsid w:val="322F554F"/>
    <w:rsid w:val="3239017C"/>
    <w:rsid w:val="323901A0"/>
    <w:rsid w:val="3240775C"/>
    <w:rsid w:val="32486493"/>
    <w:rsid w:val="324A4137"/>
    <w:rsid w:val="32586854"/>
    <w:rsid w:val="32770A74"/>
    <w:rsid w:val="32785148"/>
    <w:rsid w:val="32805DAB"/>
    <w:rsid w:val="329110B5"/>
    <w:rsid w:val="32A77B0A"/>
    <w:rsid w:val="32AF043E"/>
    <w:rsid w:val="32B20E8F"/>
    <w:rsid w:val="32C1772F"/>
    <w:rsid w:val="32C64C44"/>
    <w:rsid w:val="32C74601"/>
    <w:rsid w:val="32E013BF"/>
    <w:rsid w:val="3303519B"/>
    <w:rsid w:val="330E1609"/>
    <w:rsid w:val="33462B51"/>
    <w:rsid w:val="33753436"/>
    <w:rsid w:val="3379430E"/>
    <w:rsid w:val="33CF55B1"/>
    <w:rsid w:val="33E06476"/>
    <w:rsid w:val="33E572FC"/>
    <w:rsid w:val="34084EE4"/>
    <w:rsid w:val="3417273F"/>
    <w:rsid w:val="345728AD"/>
    <w:rsid w:val="34627E5E"/>
    <w:rsid w:val="348E4BCA"/>
    <w:rsid w:val="34CC4FD9"/>
    <w:rsid w:val="34E6283D"/>
    <w:rsid w:val="34E72111"/>
    <w:rsid w:val="34F327CB"/>
    <w:rsid w:val="35447C1F"/>
    <w:rsid w:val="35602F3B"/>
    <w:rsid w:val="35642417"/>
    <w:rsid w:val="35700359"/>
    <w:rsid w:val="35956CEF"/>
    <w:rsid w:val="35C81F43"/>
    <w:rsid w:val="35D72186"/>
    <w:rsid w:val="35D7239F"/>
    <w:rsid w:val="35DD16AE"/>
    <w:rsid w:val="35FC5E78"/>
    <w:rsid w:val="36146513"/>
    <w:rsid w:val="361E799B"/>
    <w:rsid w:val="362265DD"/>
    <w:rsid w:val="36372C24"/>
    <w:rsid w:val="365C268B"/>
    <w:rsid w:val="365D1743"/>
    <w:rsid w:val="366B011F"/>
    <w:rsid w:val="3699568D"/>
    <w:rsid w:val="369B006A"/>
    <w:rsid w:val="36A3693F"/>
    <w:rsid w:val="36AD4AAB"/>
    <w:rsid w:val="36ED19B2"/>
    <w:rsid w:val="36F32FEF"/>
    <w:rsid w:val="371148B0"/>
    <w:rsid w:val="37242980"/>
    <w:rsid w:val="376C4B50"/>
    <w:rsid w:val="377D6D5D"/>
    <w:rsid w:val="37A34A15"/>
    <w:rsid w:val="37AB1B1C"/>
    <w:rsid w:val="37AD49B3"/>
    <w:rsid w:val="37B97968"/>
    <w:rsid w:val="37BB3A75"/>
    <w:rsid w:val="37C82DDB"/>
    <w:rsid w:val="37E56DDC"/>
    <w:rsid w:val="37EB3CC7"/>
    <w:rsid w:val="37F30DCD"/>
    <w:rsid w:val="38547ABE"/>
    <w:rsid w:val="385C6972"/>
    <w:rsid w:val="3870241E"/>
    <w:rsid w:val="38730AA5"/>
    <w:rsid w:val="38CC1D4A"/>
    <w:rsid w:val="38F34E7F"/>
    <w:rsid w:val="38FE1678"/>
    <w:rsid w:val="39131727"/>
    <w:rsid w:val="392A06C6"/>
    <w:rsid w:val="393618B9"/>
    <w:rsid w:val="39592208"/>
    <w:rsid w:val="396C0E37"/>
    <w:rsid w:val="396F26D5"/>
    <w:rsid w:val="397703E0"/>
    <w:rsid w:val="399A1E48"/>
    <w:rsid w:val="3A0230D8"/>
    <w:rsid w:val="3A1A0893"/>
    <w:rsid w:val="3A1F129B"/>
    <w:rsid w:val="3A2E433E"/>
    <w:rsid w:val="3A312C2F"/>
    <w:rsid w:val="3A406970"/>
    <w:rsid w:val="3A4B1969"/>
    <w:rsid w:val="3A6164C2"/>
    <w:rsid w:val="3A684667"/>
    <w:rsid w:val="3A6F2772"/>
    <w:rsid w:val="3A767CC3"/>
    <w:rsid w:val="3A8B353F"/>
    <w:rsid w:val="3A9C5C09"/>
    <w:rsid w:val="3ABB02C8"/>
    <w:rsid w:val="3AC84793"/>
    <w:rsid w:val="3ADB6274"/>
    <w:rsid w:val="3B17625C"/>
    <w:rsid w:val="3B2D1B71"/>
    <w:rsid w:val="3B4545C2"/>
    <w:rsid w:val="3B512245"/>
    <w:rsid w:val="3B5D4EDB"/>
    <w:rsid w:val="3B8A1885"/>
    <w:rsid w:val="3BE719FB"/>
    <w:rsid w:val="3BF375EE"/>
    <w:rsid w:val="3C045180"/>
    <w:rsid w:val="3C0B4937"/>
    <w:rsid w:val="3C137C90"/>
    <w:rsid w:val="3C273A53"/>
    <w:rsid w:val="3C7324DC"/>
    <w:rsid w:val="3C776A17"/>
    <w:rsid w:val="3CA164D5"/>
    <w:rsid w:val="3CAF07A0"/>
    <w:rsid w:val="3CB90837"/>
    <w:rsid w:val="3CF47AC1"/>
    <w:rsid w:val="3CFC0724"/>
    <w:rsid w:val="3D023F8C"/>
    <w:rsid w:val="3D071149"/>
    <w:rsid w:val="3D09213E"/>
    <w:rsid w:val="3D0A4BEF"/>
    <w:rsid w:val="3D356E72"/>
    <w:rsid w:val="3D477BF1"/>
    <w:rsid w:val="3D6469F5"/>
    <w:rsid w:val="3D7038E4"/>
    <w:rsid w:val="3D78424E"/>
    <w:rsid w:val="3D8C02D2"/>
    <w:rsid w:val="3D8D7DF6"/>
    <w:rsid w:val="3DAC3FAD"/>
    <w:rsid w:val="3DB17760"/>
    <w:rsid w:val="3DB42DAD"/>
    <w:rsid w:val="3DD841DC"/>
    <w:rsid w:val="3E0B6E71"/>
    <w:rsid w:val="3E0E4BB3"/>
    <w:rsid w:val="3E293777"/>
    <w:rsid w:val="3E2E2399"/>
    <w:rsid w:val="3E773CC4"/>
    <w:rsid w:val="3E7D65A7"/>
    <w:rsid w:val="3E9D58CC"/>
    <w:rsid w:val="3EB52009"/>
    <w:rsid w:val="3EC51715"/>
    <w:rsid w:val="3EE14075"/>
    <w:rsid w:val="3EF773F5"/>
    <w:rsid w:val="3EFA08CB"/>
    <w:rsid w:val="3F3D179E"/>
    <w:rsid w:val="3F68261E"/>
    <w:rsid w:val="3F724CCD"/>
    <w:rsid w:val="3F732F1F"/>
    <w:rsid w:val="3F8E5FAB"/>
    <w:rsid w:val="3F972E59"/>
    <w:rsid w:val="3F9817C7"/>
    <w:rsid w:val="3FA330D9"/>
    <w:rsid w:val="3FB928FC"/>
    <w:rsid w:val="3FBC01E5"/>
    <w:rsid w:val="3FD339BE"/>
    <w:rsid w:val="40041DC9"/>
    <w:rsid w:val="40093EB5"/>
    <w:rsid w:val="4013025E"/>
    <w:rsid w:val="4023636B"/>
    <w:rsid w:val="404E33AC"/>
    <w:rsid w:val="40944CDF"/>
    <w:rsid w:val="409A44DC"/>
    <w:rsid w:val="409A4B3C"/>
    <w:rsid w:val="40A23390"/>
    <w:rsid w:val="40A3502A"/>
    <w:rsid w:val="40D45C40"/>
    <w:rsid w:val="40E060E5"/>
    <w:rsid w:val="40E73CED"/>
    <w:rsid w:val="41061B71"/>
    <w:rsid w:val="41270465"/>
    <w:rsid w:val="413F6153"/>
    <w:rsid w:val="41503989"/>
    <w:rsid w:val="41594397"/>
    <w:rsid w:val="4169778A"/>
    <w:rsid w:val="4185518C"/>
    <w:rsid w:val="41A82C28"/>
    <w:rsid w:val="41CC4B69"/>
    <w:rsid w:val="41D028AB"/>
    <w:rsid w:val="41DE7602"/>
    <w:rsid w:val="41FD7266"/>
    <w:rsid w:val="420B190B"/>
    <w:rsid w:val="422A154F"/>
    <w:rsid w:val="426A7782"/>
    <w:rsid w:val="426C1EA8"/>
    <w:rsid w:val="42762674"/>
    <w:rsid w:val="42976F25"/>
    <w:rsid w:val="42A67168"/>
    <w:rsid w:val="42A72EE0"/>
    <w:rsid w:val="42A96C58"/>
    <w:rsid w:val="42D812EB"/>
    <w:rsid w:val="42DD1C5E"/>
    <w:rsid w:val="42E6709F"/>
    <w:rsid w:val="432B4C89"/>
    <w:rsid w:val="43356E10"/>
    <w:rsid w:val="43374264"/>
    <w:rsid w:val="4355099C"/>
    <w:rsid w:val="4368266F"/>
    <w:rsid w:val="438356FB"/>
    <w:rsid w:val="438F5E4E"/>
    <w:rsid w:val="439E6D9C"/>
    <w:rsid w:val="43B43B06"/>
    <w:rsid w:val="43C23312"/>
    <w:rsid w:val="43C45223"/>
    <w:rsid w:val="43CB6E54"/>
    <w:rsid w:val="43F839F3"/>
    <w:rsid w:val="43FE3C8D"/>
    <w:rsid w:val="44112D07"/>
    <w:rsid w:val="44114AB5"/>
    <w:rsid w:val="441F3676"/>
    <w:rsid w:val="44694C1E"/>
    <w:rsid w:val="44714119"/>
    <w:rsid w:val="44805DDA"/>
    <w:rsid w:val="448B53DB"/>
    <w:rsid w:val="44937BC0"/>
    <w:rsid w:val="44A75419"/>
    <w:rsid w:val="44A76ACB"/>
    <w:rsid w:val="44B20519"/>
    <w:rsid w:val="44C63AF1"/>
    <w:rsid w:val="44DE52DF"/>
    <w:rsid w:val="44F16E0F"/>
    <w:rsid w:val="45012241"/>
    <w:rsid w:val="450E7246"/>
    <w:rsid w:val="45204C7C"/>
    <w:rsid w:val="45284952"/>
    <w:rsid w:val="453C2005"/>
    <w:rsid w:val="45575091"/>
    <w:rsid w:val="457E0246"/>
    <w:rsid w:val="45D264C6"/>
    <w:rsid w:val="462A00B0"/>
    <w:rsid w:val="463827CD"/>
    <w:rsid w:val="46410CA0"/>
    <w:rsid w:val="46650793"/>
    <w:rsid w:val="4665733A"/>
    <w:rsid w:val="468256F5"/>
    <w:rsid w:val="468A6DA0"/>
    <w:rsid w:val="46916B12"/>
    <w:rsid w:val="46A55352"/>
    <w:rsid w:val="46A9095F"/>
    <w:rsid w:val="46BF3AEA"/>
    <w:rsid w:val="46D00C57"/>
    <w:rsid w:val="46D06EA9"/>
    <w:rsid w:val="46E666CD"/>
    <w:rsid w:val="46FF32EA"/>
    <w:rsid w:val="47316912"/>
    <w:rsid w:val="47332F94"/>
    <w:rsid w:val="473407B4"/>
    <w:rsid w:val="473668D2"/>
    <w:rsid w:val="473A07C7"/>
    <w:rsid w:val="473B4CF5"/>
    <w:rsid w:val="474451A1"/>
    <w:rsid w:val="47486A40"/>
    <w:rsid w:val="47541888"/>
    <w:rsid w:val="475D1F08"/>
    <w:rsid w:val="4770243A"/>
    <w:rsid w:val="478F28C0"/>
    <w:rsid w:val="47915049"/>
    <w:rsid w:val="47946129"/>
    <w:rsid w:val="47AA14A8"/>
    <w:rsid w:val="47B4689E"/>
    <w:rsid w:val="47BF4370"/>
    <w:rsid w:val="47E10C42"/>
    <w:rsid w:val="48066D69"/>
    <w:rsid w:val="48094556"/>
    <w:rsid w:val="48127E9C"/>
    <w:rsid w:val="48194880"/>
    <w:rsid w:val="4831012F"/>
    <w:rsid w:val="48313978"/>
    <w:rsid w:val="483B65A4"/>
    <w:rsid w:val="48590C54"/>
    <w:rsid w:val="48735D3E"/>
    <w:rsid w:val="488B752C"/>
    <w:rsid w:val="48AE321A"/>
    <w:rsid w:val="48B22D24"/>
    <w:rsid w:val="48BD520B"/>
    <w:rsid w:val="48DC24D8"/>
    <w:rsid w:val="48E00EFA"/>
    <w:rsid w:val="48FD385A"/>
    <w:rsid w:val="492501A6"/>
    <w:rsid w:val="49290AF3"/>
    <w:rsid w:val="493D6D81"/>
    <w:rsid w:val="494075D7"/>
    <w:rsid w:val="49417BEA"/>
    <w:rsid w:val="494D2A33"/>
    <w:rsid w:val="49507E2D"/>
    <w:rsid w:val="496164DE"/>
    <w:rsid w:val="496E2078"/>
    <w:rsid w:val="4981092F"/>
    <w:rsid w:val="49971FA0"/>
    <w:rsid w:val="49A93869"/>
    <w:rsid w:val="49B3195B"/>
    <w:rsid w:val="49BE748D"/>
    <w:rsid w:val="49BF26F5"/>
    <w:rsid w:val="49E2286F"/>
    <w:rsid w:val="4A183041"/>
    <w:rsid w:val="4A283338"/>
    <w:rsid w:val="4A2C0B8E"/>
    <w:rsid w:val="4A510301"/>
    <w:rsid w:val="4A527BD5"/>
    <w:rsid w:val="4A8E1667"/>
    <w:rsid w:val="4A8F2BD7"/>
    <w:rsid w:val="4A9C3C23"/>
    <w:rsid w:val="4AA03036"/>
    <w:rsid w:val="4ACB00B3"/>
    <w:rsid w:val="4AD131F0"/>
    <w:rsid w:val="4ADF590D"/>
    <w:rsid w:val="4ADF76BB"/>
    <w:rsid w:val="4AF75402"/>
    <w:rsid w:val="4B005883"/>
    <w:rsid w:val="4B052E99"/>
    <w:rsid w:val="4B2750BC"/>
    <w:rsid w:val="4B2C6678"/>
    <w:rsid w:val="4B3D0E9A"/>
    <w:rsid w:val="4B763D8E"/>
    <w:rsid w:val="4B8D7117"/>
    <w:rsid w:val="4B984596"/>
    <w:rsid w:val="4BA8046F"/>
    <w:rsid w:val="4BBD5522"/>
    <w:rsid w:val="4BBF5AEA"/>
    <w:rsid w:val="4BD411EA"/>
    <w:rsid w:val="4BD72A88"/>
    <w:rsid w:val="4BD94A91"/>
    <w:rsid w:val="4BE47AB5"/>
    <w:rsid w:val="4C0849EF"/>
    <w:rsid w:val="4C0C0983"/>
    <w:rsid w:val="4C100436"/>
    <w:rsid w:val="4C1D340E"/>
    <w:rsid w:val="4C343A36"/>
    <w:rsid w:val="4C4243A5"/>
    <w:rsid w:val="4C433C79"/>
    <w:rsid w:val="4C6F1289"/>
    <w:rsid w:val="4C76502E"/>
    <w:rsid w:val="4C7D6DA6"/>
    <w:rsid w:val="4C8B5807"/>
    <w:rsid w:val="4C96024D"/>
    <w:rsid w:val="4CA0731E"/>
    <w:rsid w:val="4CA253F6"/>
    <w:rsid w:val="4CAE1A3B"/>
    <w:rsid w:val="4CAF130F"/>
    <w:rsid w:val="4CC05143"/>
    <w:rsid w:val="4CEF71A5"/>
    <w:rsid w:val="4CFA182E"/>
    <w:rsid w:val="4D0E2EA6"/>
    <w:rsid w:val="4D241CFD"/>
    <w:rsid w:val="4D4B54DB"/>
    <w:rsid w:val="4D4D1254"/>
    <w:rsid w:val="4D5F6B21"/>
    <w:rsid w:val="4D655222"/>
    <w:rsid w:val="4D9C4D52"/>
    <w:rsid w:val="4DAA551A"/>
    <w:rsid w:val="4DAB6F07"/>
    <w:rsid w:val="4DB27309"/>
    <w:rsid w:val="4DB5333B"/>
    <w:rsid w:val="4DBC6C0B"/>
    <w:rsid w:val="4DCD4142"/>
    <w:rsid w:val="4DEB281B"/>
    <w:rsid w:val="4DF3329F"/>
    <w:rsid w:val="4E006DA4"/>
    <w:rsid w:val="4E140649"/>
    <w:rsid w:val="4E157897"/>
    <w:rsid w:val="4E277EE2"/>
    <w:rsid w:val="4E393586"/>
    <w:rsid w:val="4E5502CF"/>
    <w:rsid w:val="4E6B6DC6"/>
    <w:rsid w:val="4E8332C9"/>
    <w:rsid w:val="4E8862BB"/>
    <w:rsid w:val="4E906552"/>
    <w:rsid w:val="4E946AE6"/>
    <w:rsid w:val="4E992277"/>
    <w:rsid w:val="4EA037B3"/>
    <w:rsid w:val="4EA74154"/>
    <w:rsid w:val="4EA76741"/>
    <w:rsid w:val="4EAD2C0C"/>
    <w:rsid w:val="4EBF51DF"/>
    <w:rsid w:val="4EEA0066"/>
    <w:rsid w:val="4EEC05F8"/>
    <w:rsid w:val="4F111E0D"/>
    <w:rsid w:val="4F3F655F"/>
    <w:rsid w:val="4F457D08"/>
    <w:rsid w:val="4F465D75"/>
    <w:rsid w:val="4F4D0041"/>
    <w:rsid w:val="4F672393"/>
    <w:rsid w:val="4F776045"/>
    <w:rsid w:val="4F8946B9"/>
    <w:rsid w:val="4FA15887"/>
    <w:rsid w:val="4FA7451F"/>
    <w:rsid w:val="4FD35314"/>
    <w:rsid w:val="4FE47521"/>
    <w:rsid w:val="4FE6773D"/>
    <w:rsid w:val="4FE94B38"/>
    <w:rsid w:val="500A7DDA"/>
    <w:rsid w:val="502B33A2"/>
    <w:rsid w:val="503E4E84"/>
    <w:rsid w:val="504D3319"/>
    <w:rsid w:val="505E5526"/>
    <w:rsid w:val="50615016"/>
    <w:rsid w:val="50630069"/>
    <w:rsid w:val="5075461D"/>
    <w:rsid w:val="50770396"/>
    <w:rsid w:val="508F56DF"/>
    <w:rsid w:val="509701A3"/>
    <w:rsid w:val="50975E07"/>
    <w:rsid w:val="50C1132B"/>
    <w:rsid w:val="50E934F1"/>
    <w:rsid w:val="50FD0E4D"/>
    <w:rsid w:val="51036279"/>
    <w:rsid w:val="510D2ABC"/>
    <w:rsid w:val="51143E36"/>
    <w:rsid w:val="51181B78"/>
    <w:rsid w:val="512A1E16"/>
    <w:rsid w:val="515F1555"/>
    <w:rsid w:val="51722E57"/>
    <w:rsid w:val="51A72EFC"/>
    <w:rsid w:val="51C07B1A"/>
    <w:rsid w:val="51C8534D"/>
    <w:rsid w:val="51FF7701"/>
    <w:rsid w:val="52100AA2"/>
    <w:rsid w:val="52150F46"/>
    <w:rsid w:val="522105B9"/>
    <w:rsid w:val="525564B4"/>
    <w:rsid w:val="525F39D4"/>
    <w:rsid w:val="525F7472"/>
    <w:rsid w:val="526121BF"/>
    <w:rsid w:val="52691F60"/>
    <w:rsid w:val="52A82A88"/>
    <w:rsid w:val="52C5363A"/>
    <w:rsid w:val="52C66AFA"/>
    <w:rsid w:val="52CD24EF"/>
    <w:rsid w:val="52F42171"/>
    <w:rsid w:val="52FE08FA"/>
    <w:rsid w:val="531225F7"/>
    <w:rsid w:val="532760A3"/>
    <w:rsid w:val="537B1F4B"/>
    <w:rsid w:val="53AB6CD4"/>
    <w:rsid w:val="53AE2320"/>
    <w:rsid w:val="53C438F2"/>
    <w:rsid w:val="53CC6C4A"/>
    <w:rsid w:val="53D17DBD"/>
    <w:rsid w:val="53FE5C4F"/>
    <w:rsid w:val="5402441A"/>
    <w:rsid w:val="540E1011"/>
    <w:rsid w:val="54273E81"/>
    <w:rsid w:val="543A3BB4"/>
    <w:rsid w:val="547669F3"/>
    <w:rsid w:val="54894AD3"/>
    <w:rsid w:val="54932594"/>
    <w:rsid w:val="54971006"/>
    <w:rsid w:val="54986C87"/>
    <w:rsid w:val="54AF6350"/>
    <w:rsid w:val="54B84D52"/>
    <w:rsid w:val="54C24E9D"/>
    <w:rsid w:val="54D45DB6"/>
    <w:rsid w:val="54DF7844"/>
    <w:rsid w:val="54EA55DA"/>
    <w:rsid w:val="54F309DA"/>
    <w:rsid w:val="5511772D"/>
    <w:rsid w:val="552515D6"/>
    <w:rsid w:val="55253355"/>
    <w:rsid w:val="554051FA"/>
    <w:rsid w:val="5543118E"/>
    <w:rsid w:val="55480552"/>
    <w:rsid w:val="556E1D04"/>
    <w:rsid w:val="55801A9A"/>
    <w:rsid w:val="55822579"/>
    <w:rsid w:val="558E2409"/>
    <w:rsid w:val="55D7633F"/>
    <w:rsid w:val="55FC3817"/>
    <w:rsid w:val="561843C9"/>
    <w:rsid w:val="562B2E63"/>
    <w:rsid w:val="56334145"/>
    <w:rsid w:val="56595C72"/>
    <w:rsid w:val="568332F5"/>
    <w:rsid w:val="568832FC"/>
    <w:rsid w:val="569C0B56"/>
    <w:rsid w:val="56A14AB8"/>
    <w:rsid w:val="56AB0D99"/>
    <w:rsid w:val="56C20A78"/>
    <w:rsid w:val="5708289B"/>
    <w:rsid w:val="57193F55"/>
    <w:rsid w:val="571A6972"/>
    <w:rsid w:val="57283E15"/>
    <w:rsid w:val="573E1C0D"/>
    <w:rsid w:val="57603931"/>
    <w:rsid w:val="57684EDC"/>
    <w:rsid w:val="576D24F2"/>
    <w:rsid w:val="57827D4C"/>
    <w:rsid w:val="578515EA"/>
    <w:rsid w:val="578B7EF1"/>
    <w:rsid w:val="579932E7"/>
    <w:rsid w:val="579E5817"/>
    <w:rsid w:val="57A01C89"/>
    <w:rsid w:val="57A75A04"/>
    <w:rsid w:val="57CE11E3"/>
    <w:rsid w:val="57D865B1"/>
    <w:rsid w:val="57E502DB"/>
    <w:rsid w:val="57E51E7A"/>
    <w:rsid w:val="57EF1159"/>
    <w:rsid w:val="5803005A"/>
    <w:rsid w:val="580F7106"/>
    <w:rsid w:val="581A61D6"/>
    <w:rsid w:val="58222F7D"/>
    <w:rsid w:val="583E357E"/>
    <w:rsid w:val="58504770"/>
    <w:rsid w:val="58532F19"/>
    <w:rsid w:val="58741EB5"/>
    <w:rsid w:val="58742FC8"/>
    <w:rsid w:val="5889510A"/>
    <w:rsid w:val="589917F1"/>
    <w:rsid w:val="58AD3FE7"/>
    <w:rsid w:val="58BF6D7E"/>
    <w:rsid w:val="58DD0FB2"/>
    <w:rsid w:val="58E80082"/>
    <w:rsid w:val="58FF6F54"/>
    <w:rsid w:val="59072D82"/>
    <w:rsid w:val="590D7AE9"/>
    <w:rsid w:val="591075D9"/>
    <w:rsid w:val="591A4836"/>
    <w:rsid w:val="593432C8"/>
    <w:rsid w:val="59347445"/>
    <w:rsid w:val="59495988"/>
    <w:rsid w:val="59594ADC"/>
    <w:rsid w:val="596A0A97"/>
    <w:rsid w:val="59790C40"/>
    <w:rsid w:val="59CD7278"/>
    <w:rsid w:val="59D95C1D"/>
    <w:rsid w:val="59DD395F"/>
    <w:rsid w:val="59F3663D"/>
    <w:rsid w:val="5A022C86"/>
    <w:rsid w:val="5A095DE3"/>
    <w:rsid w:val="5A096502"/>
    <w:rsid w:val="5A221372"/>
    <w:rsid w:val="5A2813B3"/>
    <w:rsid w:val="5A2A2DC5"/>
    <w:rsid w:val="5A2B5B3C"/>
    <w:rsid w:val="5A2E7D17"/>
    <w:rsid w:val="5A4404D4"/>
    <w:rsid w:val="5A4532B2"/>
    <w:rsid w:val="5A4C1CAA"/>
    <w:rsid w:val="5A643739"/>
    <w:rsid w:val="5A6951F3"/>
    <w:rsid w:val="5A6B2D19"/>
    <w:rsid w:val="5A6E2809"/>
    <w:rsid w:val="5A9658BC"/>
    <w:rsid w:val="5A977C7E"/>
    <w:rsid w:val="5AA2162C"/>
    <w:rsid w:val="5AA4622B"/>
    <w:rsid w:val="5AA56DC0"/>
    <w:rsid w:val="5AA71877"/>
    <w:rsid w:val="5ADD34EB"/>
    <w:rsid w:val="5AF35B26"/>
    <w:rsid w:val="5AF52A96"/>
    <w:rsid w:val="5B0D2022"/>
    <w:rsid w:val="5B0E18F6"/>
    <w:rsid w:val="5B2B70A8"/>
    <w:rsid w:val="5B2E7DD0"/>
    <w:rsid w:val="5B433C96"/>
    <w:rsid w:val="5B557525"/>
    <w:rsid w:val="5B9F76C2"/>
    <w:rsid w:val="5BAB66FD"/>
    <w:rsid w:val="5BAE60A6"/>
    <w:rsid w:val="5BB110D5"/>
    <w:rsid w:val="5BE93A0D"/>
    <w:rsid w:val="5BF5743A"/>
    <w:rsid w:val="5BF70B82"/>
    <w:rsid w:val="5C323009"/>
    <w:rsid w:val="5C403BA8"/>
    <w:rsid w:val="5C596F16"/>
    <w:rsid w:val="5C5F68AD"/>
    <w:rsid w:val="5C602626"/>
    <w:rsid w:val="5C716AEB"/>
    <w:rsid w:val="5CA84F8B"/>
    <w:rsid w:val="5CB96ED3"/>
    <w:rsid w:val="5CC130C4"/>
    <w:rsid w:val="5CCB5CF1"/>
    <w:rsid w:val="5CCC3817"/>
    <w:rsid w:val="5CD90ADF"/>
    <w:rsid w:val="5CDA23D8"/>
    <w:rsid w:val="5CDC6150"/>
    <w:rsid w:val="5CFB5F03"/>
    <w:rsid w:val="5D042FB1"/>
    <w:rsid w:val="5D0A2AEA"/>
    <w:rsid w:val="5D1256CE"/>
    <w:rsid w:val="5D1839D2"/>
    <w:rsid w:val="5D2C0B5A"/>
    <w:rsid w:val="5D413DC8"/>
    <w:rsid w:val="5D665A1A"/>
    <w:rsid w:val="5D7D18C9"/>
    <w:rsid w:val="5D7E7207"/>
    <w:rsid w:val="5D7F6ADB"/>
    <w:rsid w:val="5D89410D"/>
    <w:rsid w:val="5DA30A1C"/>
    <w:rsid w:val="5DA37015"/>
    <w:rsid w:val="5DD706C5"/>
    <w:rsid w:val="5DDE6A2E"/>
    <w:rsid w:val="5DED0627"/>
    <w:rsid w:val="5E20206C"/>
    <w:rsid w:val="5E277060"/>
    <w:rsid w:val="5E2F405E"/>
    <w:rsid w:val="5E345AE8"/>
    <w:rsid w:val="5E3653EC"/>
    <w:rsid w:val="5E4C10B3"/>
    <w:rsid w:val="5E5166CA"/>
    <w:rsid w:val="5E5C74E0"/>
    <w:rsid w:val="5E933CA6"/>
    <w:rsid w:val="5E9828C6"/>
    <w:rsid w:val="5EA17573"/>
    <w:rsid w:val="5EB50523"/>
    <w:rsid w:val="5EBB7FE7"/>
    <w:rsid w:val="5EC35A33"/>
    <w:rsid w:val="5EE42426"/>
    <w:rsid w:val="5EF42D65"/>
    <w:rsid w:val="5EFD23AE"/>
    <w:rsid w:val="5F2359CC"/>
    <w:rsid w:val="5F3E443F"/>
    <w:rsid w:val="5F426012"/>
    <w:rsid w:val="5F4955F3"/>
    <w:rsid w:val="5F6F5649"/>
    <w:rsid w:val="5F821595"/>
    <w:rsid w:val="5F8F28CB"/>
    <w:rsid w:val="5F93061C"/>
    <w:rsid w:val="5FA10F8B"/>
    <w:rsid w:val="5FCB6008"/>
    <w:rsid w:val="5FE16210"/>
    <w:rsid w:val="5FE315A4"/>
    <w:rsid w:val="6022064D"/>
    <w:rsid w:val="60313C08"/>
    <w:rsid w:val="60330FA2"/>
    <w:rsid w:val="60347C37"/>
    <w:rsid w:val="60372B4A"/>
    <w:rsid w:val="60557B18"/>
    <w:rsid w:val="60754A11"/>
    <w:rsid w:val="607F6B0D"/>
    <w:rsid w:val="609805E0"/>
    <w:rsid w:val="60AC408B"/>
    <w:rsid w:val="60CF7CC8"/>
    <w:rsid w:val="60D45F92"/>
    <w:rsid w:val="60EF311B"/>
    <w:rsid w:val="610417D1"/>
    <w:rsid w:val="61291238"/>
    <w:rsid w:val="612E481B"/>
    <w:rsid w:val="617F52FC"/>
    <w:rsid w:val="619D39D4"/>
    <w:rsid w:val="61FE0917"/>
    <w:rsid w:val="62126170"/>
    <w:rsid w:val="621E2D67"/>
    <w:rsid w:val="62426A55"/>
    <w:rsid w:val="624A297C"/>
    <w:rsid w:val="626A1B08"/>
    <w:rsid w:val="627209BD"/>
    <w:rsid w:val="627328A6"/>
    <w:rsid w:val="627D581B"/>
    <w:rsid w:val="629C4C96"/>
    <w:rsid w:val="62A23E25"/>
    <w:rsid w:val="62AA45FB"/>
    <w:rsid w:val="62BF78DD"/>
    <w:rsid w:val="62D43425"/>
    <w:rsid w:val="62D902A1"/>
    <w:rsid w:val="6310019E"/>
    <w:rsid w:val="63852E37"/>
    <w:rsid w:val="639C1C0E"/>
    <w:rsid w:val="63C27722"/>
    <w:rsid w:val="63CD67F3"/>
    <w:rsid w:val="640970FF"/>
    <w:rsid w:val="640D6BEF"/>
    <w:rsid w:val="641243DF"/>
    <w:rsid w:val="641461CF"/>
    <w:rsid w:val="641B2CD8"/>
    <w:rsid w:val="64306D81"/>
    <w:rsid w:val="6449399F"/>
    <w:rsid w:val="64591E34"/>
    <w:rsid w:val="645C4626"/>
    <w:rsid w:val="646F78AA"/>
    <w:rsid w:val="648F27B3"/>
    <w:rsid w:val="649B41FB"/>
    <w:rsid w:val="64AC57D2"/>
    <w:rsid w:val="64CA4AE0"/>
    <w:rsid w:val="64CC6AAA"/>
    <w:rsid w:val="64D464F7"/>
    <w:rsid w:val="64F14134"/>
    <w:rsid w:val="64FF4C15"/>
    <w:rsid w:val="650B7C38"/>
    <w:rsid w:val="652F3854"/>
    <w:rsid w:val="65393A14"/>
    <w:rsid w:val="65397CE8"/>
    <w:rsid w:val="653F0F52"/>
    <w:rsid w:val="654E3963"/>
    <w:rsid w:val="654F4FE5"/>
    <w:rsid w:val="657A171E"/>
    <w:rsid w:val="65821082"/>
    <w:rsid w:val="658253BB"/>
    <w:rsid w:val="658B2C99"/>
    <w:rsid w:val="659D498D"/>
    <w:rsid w:val="65CE6852"/>
    <w:rsid w:val="65DA0D53"/>
    <w:rsid w:val="66072EA0"/>
    <w:rsid w:val="660A5ADC"/>
    <w:rsid w:val="660D2ED6"/>
    <w:rsid w:val="661701F9"/>
    <w:rsid w:val="663801D4"/>
    <w:rsid w:val="66461540"/>
    <w:rsid w:val="665925BF"/>
    <w:rsid w:val="665C3E5E"/>
    <w:rsid w:val="6668628A"/>
    <w:rsid w:val="667A42E4"/>
    <w:rsid w:val="66815672"/>
    <w:rsid w:val="669435F8"/>
    <w:rsid w:val="66A3383B"/>
    <w:rsid w:val="66A36D8F"/>
    <w:rsid w:val="66B71094"/>
    <w:rsid w:val="66BB0B84"/>
    <w:rsid w:val="66C525C0"/>
    <w:rsid w:val="66C70B33"/>
    <w:rsid w:val="66D2231B"/>
    <w:rsid w:val="66D87988"/>
    <w:rsid w:val="66E5278A"/>
    <w:rsid w:val="66E77DC1"/>
    <w:rsid w:val="670267B3"/>
    <w:rsid w:val="67144738"/>
    <w:rsid w:val="671B225D"/>
    <w:rsid w:val="671E6562"/>
    <w:rsid w:val="672C3830"/>
    <w:rsid w:val="674039D2"/>
    <w:rsid w:val="6759039D"/>
    <w:rsid w:val="67815279"/>
    <w:rsid w:val="678D47DD"/>
    <w:rsid w:val="67A535E2"/>
    <w:rsid w:val="67A61834"/>
    <w:rsid w:val="67A73EDA"/>
    <w:rsid w:val="67BD26DA"/>
    <w:rsid w:val="67C954E1"/>
    <w:rsid w:val="68071BA7"/>
    <w:rsid w:val="681819D3"/>
    <w:rsid w:val="683330C2"/>
    <w:rsid w:val="683E7CBF"/>
    <w:rsid w:val="684D3705"/>
    <w:rsid w:val="684D7F02"/>
    <w:rsid w:val="68600D38"/>
    <w:rsid w:val="68637725"/>
    <w:rsid w:val="688B0A2A"/>
    <w:rsid w:val="688C0519"/>
    <w:rsid w:val="689618A9"/>
    <w:rsid w:val="68B06EB8"/>
    <w:rsid w:val="68BB30BE"/>
    <w:rsid w:val="68BC5088"/>
    <w:rsid w:val="68BE2792"/>
    <w:rsid w:val="68C87EC4"/>
    <w:rsid w:val="68CF63BB"/>
    <w:rsid w:val="68D91A42"/>
    <w:rsid w:val="68E00DC5"/>
    <w:rsid w:val="68EB4F78"/>
    <w:rsid w:val="69037945"/>
    <w:rsid w:val="69110F2F"/>
    <w:rsid w:val="69180510"/>
    <w:rsid w:val="692073C4"/>
    <w:rsid w:val="69256789"/>
    <w:rsid w:val="694B229D"/>
    <w:rsid w:val="69747710"/>
    <w:rsid w:val="69884D83"/>
    <w:rsid w:val="698A2B79"/>
    <w:rsid w:val="6999082B"/>
    <w:rsid w:val="69CB20D9"/>
    <w:rsid w:val="69CE6E20"/>
    <w:rsid w:val="69EC26FF"/>
    <w:rsid w:val="6A040A94"/>
    <w:rsid w:val="6A1F58CE"/>
    <w:rsid w:val="6A225EDF"/>
    <w:rsid w:val="6A304492"/>
    <w:rsid w:val="6A352CCF"/>
    <w:rsid w:val="6A694D9B"/>
    <w:rsid w:val="6A7716D3"/>
    <w:rsid w:val="6A9F07BD"/>
    <w:rsid w:val="6AA10091"/>
    <w:rsid w:val="6AAB0F10"/>
    <w:rsid w:val="6AAD4C88"/>
    <w:rsid w:val="6ABE0E2B"/>
    <w:rsid w:val="6ACD486F"/>
    <w:rsid w:val="6AE072F6"/>
    <w:rsid w:val="6AE44736"/>
    <w:rsid w:val="6AE668F0"/>
    <w:rsid w:val="6AE8488B"/>
    <w:rsid w:val="6AFD5D8F"/>
    <w:rsid w:val="6B014FD4"/>
    <w:rsid w:val="6B0C1440"/>
    <w:rsid w:val="6B150726"/>
    <w:rsid w:val="6B1C3BBC"/>
    <w:rsid w:val="6B267C34"/>
    <w:rsid w:val="6B3233DF"/>
    <w:rsid w:val="6B357E73"/>
    <w:rsid w:val="6B533403"/>
    <w:rsid w:val="6B564A3E"/>
    <w:rsid w:val="6B581098"/>
    <w:rsid w:val="6B67752D"/>
    <w:rsid w:val="6B6F239C"/>
    <w:rsid w:val="6B7C319A"/>
    <w:rsid w:val="6B7D0AFE"/>
    <w:rsid w:val="6BA347D7"/>
    <w:rsid w:val="6BCB09E9"/>
    <w:rsid w:val="6BDC4E44"/>
    <w:rsid w:val="6BE96194"/>
    <w:rsid w:val="6BF215FC"/>
    <w:rsid w:val="6BF608B1"/>
    <w:rsid w:val="6C040918"/>
    <w:rsid w:val="6C1061DA"/>
    <w:rsid w:val="6C1A459F"/>
    <w:rsid w:val="6C554F6B"/>
    <w:rsid w:val="6C647C16"/>
    <w:rsid w:val="6C6628BD"/>
    <w:rsid w:val="6C700663"/>
    <w:rsid w:val="6C871509"/>
    <w:rsid w:val="6C9003BD"/>
    <w:rsid w:val="6C9B19F7"/>
    <w:rsid w:val="6CA66C1C"/>
    <w:rsid w:val="6CCB70C0"/>
    <w:rsid w:val="6CEC63D9"/>
    <w:rsid w:val="6CF85455"/>
    <w:rsid w:val="6D001942"/>
    <w:rsid w:val="6D024674"/>
    <w:rsid w:val="6D126C2B"/>
    <w:rsid w:val="6D1E21E1"/>
    <w:rsid w:val="6D3F4D9F"/>
    <w:rsid w:val="6D4713C4"/>
    <w:rsid w:val="6D4864D8"/>
    <w:rsid w:val="6D7100A9"/>
    <w:rsid w:val="6D7553F4"/>
    <w:rsid w:val="6D763A57"/>
    <w:rsid w:val="6D7C7200"/>
    <w:rsid w:val="6D7F2586"/>
    <w:rsid w:val="6D994052"/>
    <w:rsid w:val="6D9E6BCF"/>
    <w:rsid w:val="6DA560EA"/>
    <w:rsid w:val="6DB14A8F"/>
    <w:rsid w:val="6DB817DB"/>
    <w:rsid w:val="6DC76061"/>
    <w:rsid w:val="6DE24C48"/>
    <w:rsid w:val="6DEE10EF"/>
    <w:rsid w:val="6DF57072"/>
    <w:rsid w:val="6E012444"/>
    <w:rsid w:val="6E023A5A"/>
    <w:rsid w:val="6E47051F"/>
    <w:rsid w:val="6E4E6782"/>
    <w:rsid w:val="6E51741F"/>
    <w:rsid w:val="6E8421A4"/>
    <w:rsid w:val="6E8B52E0"/>
    <w:rsid w:val="6E9028F6"/>
    <w:rsid w:val="6E9D31B5"/>
    <w:rsid w:val="6F5558EE"/>
    <w:rsid w:val="6F6B6EC0"/>
    <w:rsid w:val="6F6F4C02"/>
    <w:rsid w:val="6F767616"/>
    <w:rsid w:val="6F9E3859"/>
    <w:rsid w:val="6FBD596D"/>
    <w:rsid w:val="6FC54F44"/>
    <w:rsid w:val="6FE0165C"/>
    <w:rsid w:val="6FE23626"/>
    <w:rsid w:val="6FFD3FBC"/>
    <w:rsid w:val="70166DB8"/>
    <w:rsid w:val="70281F61"/>
    <w:rsid w:val="703419A7"/>
    <w:rsid w:val="703F3F2B"/>
    <w:rsid w:val="70907C43"/>
    <w:rsid w:val="70952EE4"/>
    <w:rsid w:val="70983CE4"/>
    <w:rsid w:val="70A1703D"/>
    <w:rsid w:val="70A66401"/>
    <w:rsid w:val="70B30B1E"/>
    <w:rsid w:val="70D0347E"/>
    <w:rsid w:val="70FF3D63"/>
    <w:rsid w:val="710D46D2"/>
    <w:rsid w:val="71121CE9"/>
    <w:rsid w:val="714127BE"/>
    <w:rsid w:val="714F4974"/>
    <w:rsid w:val="71502811"/>
    <w:rsid w:val="715916C6"/>
    <w:rsid w:val="715B71FA"/>
    <w:rsid w:val="71777C48"/>
    <w:rsid w:val="718F3339"/>
    <w:rsid w:val="7196665F"/>
    <w:rsid w:val="71B123AF"/>
    <w:rsid w:val="71C75BB0"/>
    <w:rsid w:val="71CA611F"/>
    <w:rsid w:val="71F47640"/>
    <w:rsid w:val="7202098F"/>
    <w:rsid w:val="72166298"/>
    <w:rsid w:val="721F2721"/>
    <w:rsid w:val="723143F0"/>
    <w:rsid w:val="72412351"/>
    <w:rsid w:val="72734A09"/>
    <w:rsid w:val="72B54AB0"/>
    <w:rsid w:val="72E143E4"/>
    <w:rsid w:val="732E26DE"/>
    <w:rsid w:val="733817AF"/>
    <w:rsid w:val="734E652B"/>
    <w:rsid w:val="73520AC2"/>
    <w:rsid w:val="735934CB"/>
    <w:rsid w:val="738A200A"/>
    <w:rsid w:val="738F7621"/>
    <w:rsid w:val="73905473"/>
    <w:rsid w:val="73AB3D2F"/>
    <w:rsid w:val="73FF041B"/>
    <w:rsid w:val="741671A6"/>
    <w:rsid w:val="741E09A4"/>
    <w:rsid w:val="74215CFF"/>
    <w:rsid w:val="74463A57"/>
    <w:rsid w:val="744D0472"/>
    <w:rsid w:val="747B0193"/>
    <w:rsid w:val="747E1443"/>
    <w:rsid w:val="748F3650"/>
    <w:rsid w:val="748F5F7F"/>
    <w:rsid w:val="74B9120F"/>
    <w:rsid w:val="74CE7E39"/>
    <w:rsid w:val="74DA2B1D"/>
    <w:rsid w:val="74DF471D"/>
    <w:rsid w:val="74E542AC"/>
    <w:rsid w:val="74F0745B"/>
    <w:rsid w:val="750162FC"/>
    <w:rsid w:val="751D2A0A"/>
    <w:rsid w:val="75377F70"/>
    <w:rsid w:val="753F6E24"/>
    <w:rsid w:val="75436915"/>
    <w:rsid w:val="75557673"/>
    <w:rsid w:val="755A3C5E"/>
    <w:rsid w:val="75706FDE"/>
    <w:rsid w:val="75784795"/>
    <w:rsid w:val="757E5B9F"/>
    <w:rsid w:val="759058D2"/>
    <w:rsid w:val="759251A6"/>
    <w:rsid w:val="75976C60"/>
    <w:rsid w:val="75984529"/>
    <w:rsid w:val="75AB44BA"/>
    <w:rsid w:val="75B23A9A"/>
    <w:rsid w:val="75B50E95"/>
    <w:rsid w:val="75F61BD9"/>
    <w:rsid w:val="761704A0"/>
    <w:rsid w:val="76171B4F"/>
    <w:rsid w:val="761A5ABC"/>
    <w:rsid w:val="7629538C"/>
    <w:rsid w:val="762B73A9"/>
    <w:rsid w:val="763B05EB"/>
    <w:rsid w:val="763C6449"/>
    <w:rsid w:val="76902AD4"/>
    <w:rsid w:val="769E5CF1"/>
    <w:rsid w:val="769E7B7B"/>
    <w:rsid w:val="76BE1FCB"/>
    <w:rsid w:val="76BF021D"/>
    <w:rsid w:val="76D53FBA"/>
    <w:rsid w:val="76DB25B4"/>
    <w:rsid w:val="770D3E4D"/>
    <w:rsid w:val="77163BB5"/>
    <w:rsid w:val="772140BC"/>
    <w:rsid w:val="77280CDD"/>
    <w:rsid w:val="773F310C"/>
    <w:rsid w:val="774A4E63"/>
    <w:rsid w:val="776C6E1C"/>
    <w:rsid w:val="77823565"/>
    <w:rsid w:val="778B00FF"/>
    <w:rsid w:val="77A45665"/>
    <w:rsid w:val="77A758D2"/>
    <w:rsid w:val="77AA7D52"/>
    <w:rsid w:val="77C467B0"/>
    <w:rsid w:val="77C5736E"/>
    <w:rsid w:val="77D01FB6"/>
    <w:rsid w:val="77FC0FFD"/>
    <w:rsid w:val="78104A38"/>
    <w:rsid w:val="781B0EBB"/>
    <w:rsid w:val="7836235A"/>
    <w:rsid w:val="783E33C3"/>
    <w:rsid w:val="7887056F"/>
    <w:rsid w:val="78A376CA"/>
    <w:rsid w:val="78C23932"/>
    <w:rsid w:val="78E71CAD"/>
    <w:rsid w:val="78EF290F"/>
    <w:rsid w:val="78FD6DDA"/>
    <w:rsid w:val="7904460D"/>
    <w:rsid w:val="790C1713"/>
    <w:rsid w:val="791C3778"/>
    <w:rsid w:val="792702FB"/>
    <w:rsid w:val="792B7DEB"/>
    <w:rsid w:val="79312F28"/>
    <w:rsid w:val="794E7636"/>
    <w:rsid w:val="794F0507"/>
    <w:rsid w:val="797379B7"/>
    <w:rsid w:val="79744F4D"/>
    <w:rsid w:val="797F1EE5"/>
    <w:rsid w:val="798C63B0"/>
    <w:rsid w:val="79955265"/>
    <w:rsid w:val="79A100AE"/>
    <w:rsid w:val="79B853F7"/>
    <w:rsid w:val="79C91ACF"/>
    <w:rsid w:val="79E85CDC"/>
    <w:rsid w:val="7A0F235D"/>
    <w:rsid w:val="7A145352"/>
    <w:rsid w:val="7A2533F6"/>
    <w:rsid w:val="7A340F22"/>
    <w:rsid w:val="7A641988"/>
    <w:rsid w:val="7A6F0ED1"/>
    <w:rsid w:val="7A97500D"/>
    <w:rsid w:val="7AA60D0D"/>
    <w:rsid w:val="7ABF67D9"/>
    <w:rsid w:val="7ACD0A2E"/>
    <w:rsid w:val="7AE83ABA"/>
    <w:rsid w:val="7AF67F85"/>
    <w:rsid w:val="7B0B27F3"/>
    <w:rsid w:val="7B113701"/>
    <w:rsid w:val="7B1D5512"/>
    <w:rsid w:val="7B234AF2"/>
    <w:rsid w:val="7B643141"/>
    <w:rsid w:val="7B7F7F7B"/>
    <w:rsid w:val="7B98728E"/>
    <w:rsid w:val="7B994BBE"/>
    <w:rsid w:val="7BB340C8"/>
    <w:rsid w:val="7BBA7205"/>
    <w:rsid w:val="7BC46A2D"/>
    <w:rsid w:val="7BC938EC"/>
    <w:rsid w:val="7BE7472F"/>
    <w:rsid w:val="7C304D75"/>
    <w:rsid w:val="7C61065C"/>
    <w:rsid w:val="7C6333F8"/>
    <w:rsid w:val="7C6C2E8C"/>
    <w:rsid w:val="7C743857"/>
    <w:rsid w:val="7C881888"/>
    <w:rsid w:val="7C941C4C"/>
    <w:rsid w:val="7C943EFA"/>
    <w:rsid w:val="7C9C4B5C"/>
    <w:rsid w:val="7C9F63FA"/>
    <w:rsid w:val="7CC24738"/>
    <w:rsid w:val="7CFC55FB"/>
    <w:rsid w:val="7D2863F0"/>
    <w:rsid w:val="7D3134F6"/>
    <w:rsid w:val="7D366D5F"/>
    <w:rsid w:val="7D3A3CBD"/>
    <w:rsid w:val="7D3D633F"/>
    <w:rsid w:val="7D415B8A"/>
    <w:rsid w:val="7D4274B2"/>
    <w:rsid w:val="7D823D52"/>
    <w:rsid w:val="7D886CEB"/>
    <w:rsid w:val="7D8E26F7"/>
    <w:rsid w:val="7D996DE5"/>
    <w:rsid w:val="7D9F2B56"/>
    <w:rsid w:val="7DB639FC"/>
    <w:rsid w:val="7DBF167F"/>
    <w:rsid w:val="7DC12ACC"/>
    <w:rsid w:val="7DC26844"/>
    <w:rsid w:val="7DC46119"/>
    <w:rsid w:val="7DC82BFC"/>
    <w:rsid w:val="7DD575BE"/>
    <w:rsid w:val="7E3314F0"/>
    <w:rsid w:val="7E3722D4"/>
    <w:rsid w:val="7E661F38"/>
    <w:rsid w:val="7E730510"/>
    <w:rsid w:val="7E782B0B"/>
    <w:rsid w:val="7EB663A9"/>
    <w:rsid w:val="7EB73ECF"/>
    <w:rsid w:val="7EB75C7D"/>
    <w:rsid w:val="7EBA17E4"/>
    <w:rsid w:val="7EBC14E6"/>
    <w:rsid w:val="7EC41D41"/>
    <w:rsid w:val="7F0F4A3F"/>
    <w:rsid w:val="7F1070F8"/>
    <w:rsid w:val="7F1E61D8"/>
    <w:rsid w:val="7F450AE4"/>
    <w:rsid w:val="7F48425D"/>
    <w:rsid w:val="7F5E434B"/>
    <w:rsid w:val="7F625BE9"/>
    <w:rsid w:val="7F641806"/>
    <w:rsid w:val="7F78540D"/>
    <w:rsid w:val="7F963AE5"/>
    <w:rsid w:val="7F9F6E3D"/>
    <w:rsid w:val="7FA21D33"/>
    <w:rsid w:val="7FBB354B"/>
    <w:rsid w:val="7FE118BB"/>
    <w:rsid w:val="7FF8479F"/>
    <w:rsid w:val="7FFA7747"/>
    <w:rsid w:val="7FFF168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r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Cs w:val="21"/>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45" w:after="45" w:line="432" w:lineRule="auto"/>
      <w:ind w:right="150" w:firstLine="480"/>
      <w:jc w:val="left"/>
    </w:pPr>
    <w:rPr>
      <w:rFonts w:ascii="宋体" w:hAnsi="宋体" w:eastAsia="宋体" w:cs="宋体"/>
      <w:kern w:val="0"/>
      <w:sz w:val="24"/>
      <w:szCs w:val="24"/>
    </w:rPr>
  </w:style>
  <w:style w:type="paragraph" w:customStyle="1" w:styleId="12">
    <w:name w:val="WPSOffice手动目录 2"/>
    <w:qFormat/>
    <w:uiPriority w:val="0"/>
    <w:pPr>
      <w:spacing w:after="160" w:line="259" w:lineRule="auto"/>
      <w:ind w:left="200" w:leftChars="200"/>
    </w:pPr>
    <w:rPr>
      <w:rFonts w:ascii="Times New Roman" w:hAnsi="Times New Roman" w:eastAsia="宋体" w:cs="Times New Roman"/>
      <w:lang w:val="en-US" w:eastAsia="zh-CN" w:bidi="ar-SA"/>
    </w:rPr>
  </w:style>
  <w:style w:type="paragraph" w:customStyle="1" w:styleId="13">
    <w:name w:val="WPSOffice手动目录 1"/>
    <w:qFormat/>
    <w:uiPriority w:val="0"/>
    <w:pPr>
      <w:spacing w:after="160" w:line="259" w:lineRule="auto"/>
    </w:pPr>
    <w:rPr>
      <w:rFonts w:ascii="Times New Roman" w:hAnsi="Times New Roman" w:eastAsia="黑体" w:cs="Times New Roman"/>
      <w:sz w:val="28"/>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收入预算结构图</c:f>
              <c:strCache>
                <c:ptCount val="1"/>
                <c:pt idx="0">
                  <c:v>收入预算结构图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一般公共预算拨款收入</c:v>
                </c:pt>
                <c:pt idx="1">
                  <c:v>事业单位经营收入</c:v>
                </c:pt>
                <c:pt idx="2">
                  <c:v>上年结转结余</c:v>
                </c:pt>
              </c:strCache>
            </c:strRef>
          </c:cat>
          <c:val>
            <c:numRef>
              <c:f>Sheet1!$B$2:$B$4</c:f>
              <c:numCache>
                <c:formatCode>General</c:formatCode>
                <c:ptCount val="3"/>
                <c:pt idx="0">
                  <c:v>7161.01</c:v>
                </c:pt>
                <c:pt idx="1">
                  <c:v>7970.12</c:v>
                </c:pt>
                <c:pt idx="2">
                  <c:v>8814.46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52e8eb-ce29-43e2-bc2f-64efa82233b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支出预算构成</c:f>
              <c:strCache>
                <c:ptCount val="1"/>
                <c:pt idx="0">
                  <c:v>支出预算构成</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事业单位经营支出</c:v>
                </c:pt>
              </c:strCache>
            </c:strRef>
          </c:cat>
          <c:val>
            <c:numRef>
              <c:f>Sheet1!$B$2:$B$4</c:f>
              <c:numCache>
                <c:formatCode>General</c:formatCode>
                <c:ptCount val="3"/>
                <c:pt idx="0">
                  <c:v>3905.01</c:v>
                </c:pt>
                <c:pt idx="1">
                  <c:v>3483.06</c:v>
                </c:pt>
                <c:pt idx="2">
                  <c:v>16557.52</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9c1a025-7117-4f2d-8bdb-6f36b672e12e}"/>
      </c:ext>
    </c:extLst>
  </c:chart>
  <c:spPr>
    <a:solidFill>
      <a:schemeClr val="bg1">
        <a:alpha val="97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6708</Words>
  <Characters>7731</Characters>
  <Lines>43</Lines>
  <Paragraphs>12</Paragraphs>
  <TotalTime>20</TotalTime>
  <ScaleCrop>false</ScaleCrop>
  <LinksUpToDate>false</LinksUpToDate>
  <CharactersWithSpaces>7947</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王志刚</dc:creator>
  <cp:lastModifiedBy>若随风</cp:lastModifiedBy>
  <dcterms:modified xsi:type="dcterms:W3CDTF">2026-02-28T02:22:42Z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7272ACCD227646F9A688A31130FBDFAE_13</vt:lpwstr>
  </property>
  <property fmtid="{D5CDD505-2E9C-101B-9397-08002B2CF9AE}" pid="4" name="KSOTemplateDocerSaveRecord">
    <vt:lpwstr>eyJoZGlkIjoiZGQ1NTQxODAzNDY1YTRkMTg5NTNjMjQ5NWU0OTQ0MTkiLCJ1c2VySWQiOiIzMzI3NjI1MDkifQ==</vt:lpwstr>
  </property>
</Properties>
</file>