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3A215"/>
    <w:p w14:paraId="77C553BF"/>
    <w:p w14:paraId="52D5B7D6"/>
    <w:p w14:paraId="2F17D113">
      <w:pPr>
        <w:pStyle w:val="5"/>
        <w:spacing w:line="256" w:lineRule="auto"/>
      </w:pPr>
    </w:p>
    <w:p w14:paraId="686BD248">
      <w:pPr>
        <w:pStyle w:val="5"/>
        <w:spacing w:line="256" w:lineRule="auto"/>
      </w:pPr>
    </w:p>
    <w:p w14:paraId="6E02EE65">
      <w:pPr>
        <w:pStyle w:val="5"/>
        <w:spacing w:line="256" w:lineRule="auto"/>
      </w:pPr>
    </w:p>
    <w:p w14:paraId="533BF309">
      <w:pPr>
        <w:pStyle w:val="5"/>
        <w:spacing w:line="256" w:lineRule="auto"/>
      </w:pPr>
    </w:p>
    <w:p w14:paraId="48B48FD7">
      <w:pPr>
        <w:pStyle w:val="5"/>
        <w:spacing w:line="257" w:lineRule="auto"/>
        <w:rPr>
          <w:rFonts w:ascii="宋体" w:hAnsi="宋体" w:eastAsia="宋体" w:cs="宋体"/>
        </w:rPr>
      </w:pPr>
    </w:p>
    <w:p w14:paraId="058B9DE5">
      <w:pPr>
        <w:pStyle w:val="5"/>
        <w:spacing w:line="257" w:lineRule="auto"/>
        <w:rPr>
          <w:rFonts w:ascii="宋体" w:hAnsi="宋体" w:eastAsia="宋体" w:cs="宋体"/>
        </w:rPr>
      </w:pPr>
    </w:p>
    <w:p w14:paraId="6D1268F3">
      <w:pPr>
        <w:spacing w:line="560" w:lineRule="exact"/>
        <w:jc w:val="center"/>
        <w:rPr>
          <w:rFonts w:ascii="宋体" w:hAnsi="宋体" w:eastAsia="宋体" w:cs="宋体"/>
          <w:b/>
          <w:bCs/>
          <w:sz w:val="16"/>
          <w:szCs w:val="16"/>
        </w:rPr>
      </w:pPr>
      <w:r>
        <w:rPr>
          <w:rFonts w:ascii="Times New Roman" w:hAnsi="Times New Roman" w:eastAsia="宋体" w:cs="Times New Roman"/>
          <w:b/>
          <w:bCs/>
          <w:sz w:val="48"/>
          <w:szCs w:val="48"/>
        </w:rPr>
        <w:t>202</w:t>
      </w:r>
      <w:r>
        <w:rPr>
          <w:rFonts w:hint="eastAsia" w:ascii="Times New Roman" w:hAnsi="Times New Roman" w:eastAsia="宋体" w:cs="Times New Roman"/>
          <w:b/>
          <w:bCs/>
          <w:sz w:val="48"/>
          <w:szCs w:val="48"/>
        </w:rPr>
        <w:t>6</w:t>
      </w:r>
      <w:r>
        <w:rPr>
          <w:rFonts w:hint="eastAsia" w:ascii="宋体" w:hAnsi="宋体" w:eastAsia="宋体" w:cs="宋体"/>
          <w:b/>
          <w:bCs/>
          <w:sz w:val="48"/>
          <w:szCs w:val="48"/>
        </w:rPr>
        <w:t>年度</w:t>
      </w:r>
      <w:bookmarkStart w:id="0" w:name="PO_title1"/>
      <w:r>
        <w:rPr>
          <w:rFonts w:hint="eastAsia" w:ascii="宋体" w:hAnsi="宋体" w:eastAsia="宋体" w:cs="宋体"/>
          <w:b/>
          <w:bCs/>
          <w:sz w:val="48"/>
          <w:szCs w:val="48"/>
        </w:rPr>
        <w:t>内蒙古自治区特种设备检验研究院通辽分院</w:t>
      </w:r>
    </w:p>
    <w:bookmarkEnd w:id="0"/>
    <w:p w14:paraId="1619E744">
      <w:pPr>
        <w:spacing w:line="600" w:lineRule="exact"/>
        <w:jc w:val="center"/>
        <w:rPr>
          <w:rFonts w:ascii="黑体" w:hAnsi="黑体" w:eastAsia="黑体" w:cs="黑体"/>
          <w:sz w:val="52"/>
          <w:szCs w:val="52"/>
        </w:rPr>
      </w:pPr>
      <w:bookmarkStart w:id="172" w:name="_GoBack"/>
      <w:r>
        <w:rPr>
          <w:rFonts w:hint="eastAsia" w:ascii="宋体" w:hAnsi="宋体" w:eastAsia="宋体" w:cs="宋体"/>
          <w:b/>
          <w:bCs/>
          <w:sz w:val="48"/>
          <w:szCs w:val="48"/>
        </w:rPr>
        <w:t>单位</w:t>
      </w:r>
      <w:bookmarkEnd w:id="172"/>
      <w:r>
        <w:rPr>
          <w:rFonts w:hint="eastAsia" w:ascii="宋体" w:hAnsi="宋体" w:eastAsia="宋体" w:cs="宋体"/>
          <w:b/>
          <w:bCs/>
          <w:sz w:val="48"/>
          <w:szCs w:val="48"/>
        </w:rPr>
        <w:t>预算公开</w:t>
      </w:r>
    </w:p>
    <w:p w14:paraId="2EDF2CC9">
      <w:pPr>
        <w:pStyle w:val="5"/>
        <w:spacing w:line="244" w:lineRule="auto"/>
        <w:rPr>
          <w:lang w:eastAsia="zh-CN"/>
        </w:rPr>
      </w:pPr>
    </w:p>
    <w:p w14:paraId="63A78CB1">
      <w:pPr>
        <w:pStyle w:val="5"/>
        <w:spacing w:line="244" w:lineRule="auto"/>
        <w:rPr>
          <w:lang w:eastAsia="zh-CN"/>
        </w:rPr>
      </w:pPr>
    </w:p>
    <w:p w14:paraId="4BF7B0E8">
      <w:pPr>
        <w:pStyle w:val="5"/>
        <w:spacing w:line="244" w:lineRule="auto"/>
        <w:rPr>
          <w:lang w:eastAsia="zh-CN"/>
        </w:rPr>
      </w:pPr>
    </w:p>
    <w:p w14:paraId="31D93E56">
      <w:pPr>
        <w:pStyle w:val="5"/>
        <w:spacing w:line="244" w:lineRule="auto"/>
        <w:rPr>
          <w:lang w:eastAsia="zh-CN"/>
        </w:rPr>
      </w:pPr>
    </w:p>
    <w:p w14:paraId="074EF093">
      <w:pPr>
        <w:pStyle w:val="5"/>
        <w:spacing w:line="244" w:lineRule="auto"/>
        <w:rPr>
          <w:lang w:eastAsia="zh-CN"/>
        </w:rPr>
      </w:pPr>
    </w:p>
    <w:p w14:paraId="35F0DF01">
      <w:pPr>
        <w:pStyle w:val="5"/>
        <w:spacing w:line="244" w:lineRule="auto"/>
        <w:rPr>
          <w:lang w:eastAsia="zh-CN"/>
        </w:rPr>
      </w:pPr>
    </w:p>
    <w:p w14:paraId="2A6735B9">
      <w:pPr>
        <w:pStyle w:val="5"/>
        <w:spacing w:line="244" w:lineRule="auto"/>
        <w:rPr>
          <w:lang w:eastAsia="zh-CN"/>
        </w:rPr>
      </w:pPr>
    </w:p>
    <w:p w14:paraId="11A09539">
      <w:pPr>
        <w:pStyle w:val="5"/>
        <w:spacing w:line="245" w:lineRule="auto"/>
        <w:rPr>
          <w:lang w:eastAsia="zh-CN"/>
        </w:rPr>
      </w:pPr>
    </w:p>
    <w:p w14:paraId="5CE2B4B0">
      <w:pPr>
        <w:pStyle w:val="5"/>
        <w:spacing w:line="245" w:lineRule="auto"/>
        <w:rPr>
          <w:lang w:eastAsia="zh-CN"/>
        </w:rPr>
      </w:pPr>
    </w:p>
    <w:p w14:paraId="40D8699F">
      <w:pPr>
        <w:pStyle w:val="5"/>
        <w:spacing w:line="245" w:lineRule="auto"/>
        <w:rPr>
          <w:lang w:eastAsia="zh-CN"/>
        </w:rPr>
      </w:pPr>
    </w:p>
    <w:p w14:paraId="5F3C88C8">
      <w:pPr>
        <w:pStyle w:val="5"/>
        <w:spacing w:line="245" w:lineRule="auto"/>
        <w:rPr>
          <w:lang w:eastAsia="zh-CN"/>
        </w:rPr>
      </w:pPr>
    </w:p>
    <w:p w14:paraId="21BCD5D3">
      <w:pPr>
        <w:pStyle w:val="5"/>
        <w:spacing w:line="245" w:lineRule="auto"/>
        <w:rPr>
          <w:lang w:eastAsia="zh-CN"/>
        </w:rPr>
      </w:pPr>
    </w:p>
    <w:p w14:paraId="374EC519">
      <w:pPr>
        <w:pStyle w:val="5"/>
        <w:spacing w:line="245" w:lineRule="auto"/>
        <w:rPr>
          <w:lang w:eastAsia="zh-CN"/>
        </w:rPr>
      </w:pPr>
    </w:p>
    <w:p w14:paraId="178B3930">
      <w:pPr>
        <w:pStyle w:val="5"/>
        <w:spacing w:line="245" w:lineRule="auto"/>
        <w:rPr>
          <w:lang w:eastAsia="zh-CN"/>
        </w:rPr>
      </w:pPr>
    </w:p>
    <w:p w14:paraId="1C99D804">
      <w:pPr>
        <w:pStyle w:val="5"/>
        <w:spacing w:line="245" w:lineRule="auto"/>
        <w:rPr>
          <w:lang w:eastAsia="zh-CN"/>
        </w:rPr>
      </w:pPr>
    </w:p>
    <w:p w14:paraId="7DB3B3C9">
      <w:pPr>
        <w:pStyle w:val="5"/>
        <w:spacing w:line="245" w:lineRule="auto"/>
        <w:rPr>
          <w:lang w:eastAsia="zh-CN"/>
        </w:rPr>
      </w:pPr>
    </w:p>
    <w:p w14:paraId="54FC543B">
      <w:pPr>
        <w:pStyle w:val="5"/>
        <w:spacing w:line="245" w:lineRule="auto"/>
        <w:rPr>
          <w:lang w:eastAsia="zh-CN"/>
        </w:rPr>
      </w:pPr>
    </w:p>
    <w:p w14:paraId="01A3E38F">
      <w:pPr>
        <w:pStyle w:val="5"/>
        <w:spacing w:line="245" w:lineRule="auto"/>
        <w:rPr>
          <w:lang w:eastAsia="zh-CN"/>
        </w:rPr>
      </w:pPr>
    </w:p>
    <w:p w14:paraId="4DE9B92F">
      <w:pPr>
        <w:pStyle w:val="5"/>
        <w:spacing w:line="245" w:lineRule="auto"/>
        <w:rPr>
          <w:lang w:eastAsia="zh-CN"/>
        </w:rPr>
      </w:pPr>
    </w:p>
    <w:p w14:paraId="654D239D">
      <w:pPr>
        <w:pStyle w:val="5"/>
        <w:spacing w:line="245" w:lineRule="auto"/>
        <w:rPr>
          <w:lang w:eastAsia="zh-CN"/>
        </w:rPr>
      </w:pPr>
    </w:p>
    <w:p w14:paraId="70A4EFA4">
      <w:pPr>
        <w:pStyle w:val="5"/>
        <w:spacing w:line="245" w:lineRule="auto"/>
        <w:rPr>
          <w:lang w:eastAsia="zh-CN"/>
        </w:rPr>
      </w:pPr>
    </w:p>
    <w:p w14:paraId="7EC16F82">
      <w:pPr>
        <w:pStyle w:val="5"/>
        <w:spacing w:line="245" w:lineRule="auto"/>
        <w:rPr>
          <w:lang w:eastAsia="zh-CN"/>
        </w:rPr>
      </w:pPr>
    </w:p>
    <w:p w14:paraId="2025D1CC">
      <w:pPr>
        <w:pStyle w:val="5"/>
        <w:spacing w:line="245" w:lineRule="auto"/>
        <w:rPr>
          <w:lang w:eastAsia="zh-CN"/>
        </w:rPr>
      </w:pPr>
    </w:p>
    <w:p w14:paraId="058107B4">
      <w:pPr>
        <w:pStyle w:val="5"/>
        <w:spacing w:line="245" w:lineRule="auto"/>
        <w:rPr>
          <w:lang w:eastAsia="zh-CN"/>
        </w:rPr>
      </w:pPr>
    </w:p>
    <w:p w14:paraId="18C74B83">
      <w:pPr>
        <w:pStyle w:val="5"/>
        <w:spacing w:line="245" w:lineRule="auto"/>
        <w:rPr>
          <w:lang w:eastAsia="zh-CN"/>
        </w:rPr>
      </w:pPr>
    </w:p>
    <w:p w14:paraId="2E900599">
      <w:pPr>
        <w:pStyle w:val="5"/>
        <w:spacing w:line="245" w:lineRule="auto"/>
        <w:rPr>
          <w:lang w:eastAsia="zh-CN"/>
        </w:rPr>
      </w:pPr>
    </w:p>
    <w:p w14:paraId="47E09CBF">
      <w:pPr>
        <w:pStyle w:val="5"/>
        <w:spacing w:line="245" w:lineRule="auto"/>
        <w:rPr>
          <w:lang w:eastAsia="zh-CN"/>
        </w:rPr>
      </w:pPr>
    </w:p>
    <w:p w14:paraId="45C7959A">
      <w:pPr>
        <w:spacing w:line="600" w:lineRule="exact"/>
        <w:jc w:val="center"/>
        <w:rPr>
          <w:rFonts w:ascii="黑体" w:hAnsi="黑体" w:eastAsia="黑体" w:cs="黑体"/>
          <w:spacing w:val="2"/>
          <w:sz w:val="31"/>
          <w:szCs w:val="31"/>
        </w:rPr>
      </w:pPr>
      <w:r>
        <w:rPr>
          <w:rFonts w:hint="eastAsia" w:ascii="黑体" w:hAnsi="黑体" w:eastAsia="黑体" w:cs="黑体"/>
          <w:spacing w:val="2"/>
          <w:sz w:val="32"/>
          <w:szCs w:val="32"/>
        </w:rPr>
        <w:t>批复时间：2026年</w:t>
      </w:r>
      <w:r>
        <w:rPr>
          <w:rFonts w:hint="eastAsia" w:ascii="黑体" w:hAnsi="黑体" w:eastAsia="黑体" w:cs="黑体"/>
          <w:spacing w:val="2"/>
          <w:sz w:val="32"/>
          <w:szCs w:val="32"/>
          <w:lang w:val="en-US" w:eastAsia="zh-CN"/>
        </w:rPr>
        <w:t>2日14</w:t>
      </w:r>
      <w:r>
        <w:rPr>
          <w:rFonts w:hint="eastAsia" w:ascii="黑体" w:hAnsi="黑体" w:eastAsia="黑体" w:cs="黑体"/>
          <w:spacing w:val="2"/>
          <w:sz w:val="32"/>
          <w:szCs w:val="32"/>
        </w:rPr>
        <w:t>日</w:t>
      </w:r>
    </w:p>
    <w:p w14:paraId="02549975">
      <w:pPr>
        <w:spacing w:line="600" w:lineRule="exact"/>
        <w:jc w:val="center"/>
        <w:rPr>
          <w:rFonts w:ascii="黑体" w:hAnsi="黑体" w:eastAsia="黑体" w:cs="黑体"/>
          <w:sz w:val="31"/>
          <w:szCs w:val="31"/>
        </w:rPr>
      </w:pPr>
      <w:r>
        <w:rPr>
          <w:rFonts w:ascii="黑体" w:hAnsi="黑体" w:eastAsia="黑体" w:cs="黑体"/>
          <w:spacing w:val="2"/>
          <w:sz w:val="32"/>
          <w:szCs w:val="32"/>
        </w:rPr>
        <w:t>公开时间：</w:t>
      </w:r>
      <w:r>
        <w:rPr>
          <w:rFonts w:hint="eastAsia" w:ascii="黑体" w:hAnsi="黑体" w:eastAsia="黑体" w:cs="黑体"/>
          <w:spacing w:val="2"/>
          <w:sz w:val="32"/>
          <w:szCs w:val="32"/>
        </w:rPr>
        <w:t>2026年</w:t>
      </w:r>
      <w:bookmarkStart w:id="1" w:name="PO_part1A3"/>
      <w:r>
        <w:rPr>
          <w:rFonts w:hint="eastAsia" w:ascii="黑体" w:hAnsi="黑体" w:eastAsia="黑体" w:cs="黑体"/>
          <w:spacing w:val="2"/>
          <w:sz w:val="32"/>
          <w:szCs w:val="32"/>
        </w:rPr>
        <w:t>3</w:t>
      </w:r>
      <w:r>
        <w:rPr>
          <w:rFonts w:hint="eastAsia" w:ascii="黑体" w:hAnsi="黑体" w:eastAsia="黑体" w:cs="黑体"/>
          <w:spacing w:val="2"/>
          <w:sz w:val="11"/>
          <w:szCs w:val="11"/>
        </w:rPr>
        <w:t xml:space="preserve"> </w:t>
      </w:r>
      <w:bookmarkEnd w:id="1"/>
      <w:r>
        <w:rPr>
          <w:rFonts w:hint="eastAsia" w:ascii="黑体" w:hAnsi="黑体" w:eastAsia="黑体" w:cs="黑体"/>
          <w:spacing w:val="2"/>
          <w:sz w:val="32"/>
          <w:szCs w:val="32"/>
        </w:rPr>
        <w:t>月</w:t>
      </w:r>
      <w:bookmarkStart w:id="2" w:name="PO_part1A4"/>
      <w:r>
        <w:rPr>
          <w:rFonts w:hint="eastAsia" w:ascii="黑体" w:hAnsi="黑体" w:eastAsia="黑体" w:cs="黑体"/>
          <w:spacing w:val="2"/>
          <w:sz w:val="32"/>
          <w:szCs w:val="32"/>
        </w:rPr>
        <w:t>3</w:t>
      </w:r>
      <w:r>
        <w:rPr>
          <w:rFonts w:hint="eastAsia" w:ascii="黑体" w:hAnsi="黑体" w:eastAsia="黑体" w:cs="黑体"/>
          <w:spacing w:val="2"/>
          <w:sz w:val="11"/>
          <w:szCs w:val="11"/>
        </w:rPr>
        <w:t xml:space="preserve"> </w:t>
      </w:r>
      <w:bookmarkEnd w:id="2"/>
      <w:r>
        <w:rPr>
          <w:rFonts w:hint="eastAsia" w:ascii="黑体" w:hAnsi="黑体" w:eastAsia="黑体" w:cs="黑体"/>
          <w:spacing w:val="2"/>
          <w:sz w:val="32"/>
          <w:szCs w:val="32"/>
        </w:rPr>
        <w:t>日</w:t>
      </w:r>
    </w:p>
    <w:p w14:paraId="6F68CBFF">
      <w:pPr>
        <w:spacing w:line="221" w:lineRule="auto"/>
        <w:rPr>
          <w:rFonts w:ascii="仿宋" w:hAnsi="仿宋" w:eastAsia="仿宋" w:cs="仿宋"/>
          <w:sz w:val="31"/>
          <w:szCs w:val="31"/>
        </w:rPr>
      </w:pPr>
    </w:p>
    <w:p w14:paraId="269B87AD">
      <w:pPr>
        <w:pStyle w:val="2"/>
        <w:ind w:left="0" w:leftChars="0" w:firstLine="0"/>
        <w:rPr>
          <w:rFonts w:hint="default" w:ascii="仿宋" w:hAnsi="仿宋" w:eastAsia="仿宋" w:cs="仿宋"/>
          <w:sz w:val="31"/>
          <w:szCs w:val="31"/>
        </w:rPr>
      </w:pPr>
    </w:p>
    <w:p w14:paraId="5B8D251F">
      <w:pPr>
        <w:pStyle w:val="2"/>
        <w:ind w:left="0" w:leftChars="0" w:firstLine="0"/>
        <w:rPr>
          <w:rFonts w:hint="default" w:ascii="仿宋" w:hAnsi="仿宋" w:eastAsia="仿宋" w:cs="仿宋"/>
          <w:sz w:val="31"/>
          <w:szCs w:val="31"/>
        </w:rPr>
      </w:pPr>
    </w:p>
    <w:p w14:paraId="2C37FE27">
      <w:pPr>
        <w:pStyle w:val="2"/>
        <w:ind w:left="0" w:leftChars="0" w:firstLine="0"/>
        <w:rPr>
          <w:rFonts w:hint="default" w:ascii="仿宋" w:hAnsi="仿宋" w:eastAsia="仿宋" w:cs="仿宋"/>
          <w:sz w:val="31"/>
          <w:szCs w:val="31"/>
        </w:rPr>
      </w:pPr>
    </w:p>
    <w:p w14:paraId="261C9961">
      <w:pPr>
        <w:pStyle w:val="2"/>
        <w:ind w:left="0" w:leftChars="0" w:firstLine="0"/>
        <w:rPr>
          <w:rFonts w:hint="default" w:ascii="仿宋" w:hAnsi="仿宋" w:eastAsia="仿宋" w:cs="仿宋"/>
          <w:sz w:val="31"/>
          <w:szCs w:val="31"/>
        </w:rPr>
        <w:sectPr>
          <w:footerReference r:id="rId3" w:type="default"/>
          <w:pgSz w:w="11910" w:h="16840"/>
          <w:pgMar w:top="1431" w:right="1772" w:bottom="1106" w:left="1643" w:header="0" w:footer="853" w:gutter="0"/>
          <w:cols w:space="720" w:num="1"/>
        </w:sectPr>
      </w:pPr>
    </w:p>
    <w:p w14:paraId="5EDCCC62">
      <w:pPr>
        <w:spacing w:before="254" w:line="225" w:lineRule="auto"/>
        <w:jc w:val="center"/>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7D16E813">
      <w:pPr>
        <w:pStyle w:val="5"/>
        <w:spacing w:line="317" w:lineRule="auto"/>
        <w:rPr>
          <w:lang w:eastAsia="zh-CN"/>
        </w:rPr>
      </w:pPr>
    </w:p>
    <w:p w14:paraId="7E38A161">
      <w:pPr>
        <w:spacing w:before="101" w:line="601" w:lineRule="exact"/>
        <w:rPr>
          <w:rFonts w:ascii="黑体" w:hAnsi="黑体" w:eastAsia="黑体" w:cs="黑体"/>
          <w:sz w:val="32"/>
          <w:szCs w:val="32"/>
        </w:rPr>
      </w:pPr>
      <w:r>
        <w:rPr>
          <w:rFonts w:ascii="黑体" w:hAnsi="黑体" w:eastAsia="黑体" w:cs="黑体"/>
          <w:spacing w:val="8"/>
          <w:position w:val="21"/>
          <w:sz w:val="32"/>
          <w:szCs w:val="32"/>
        </w:rPr>
        <w:t xml:space="preserve">第一部分 </w:t>
      </w:r>
      <w:r>
        <w:rPr>
          <w:rFonts w:hint="eastAsia" w:ascii="黑体" w:hAnsi="黑体" w:eastAsia="黑体" w:cs="黑体"/>
          <w:spacing w:val="8"/>
          <w:position w:val="21"/>
          <w:sz w:val="32"/>
          <w:szCs w:val="32"/>
        </w:rPr>
        <w:t>单位</w:t>
      </w:r>
      <w:r>
        <w:rPr>
          <w:rFonts w:ascii="黑体" w:hAnsi="黑体" w:eastAsia="黑体" w:cs="黑体"/>
          <w:spacing w:val="8"/>
          <w:position w:val="21"/>
          <w:sz w:val="32"/>
          <w:szCs w:val="32"/>
        </w:rPr>
        <w:t>概况</w:t>
      </w:r>
    </w:p>
    <w:p w14:paraId="300FC538">
      <w:pPr>
        <w:spacing w:line="360" w:lineRule="auto"/>
        <w:ind w:firstLine="668" w:firstLineChars="200"/>
        <w:rPr>
          <w:rFonts w:ascii="仿宋" w:hAnsi="仿宋" w:eastAsia="仿宋" w:cs="仿宋"/>
          <w:spacing w:val="7"/>
          <w:sz w:val="32"/>
          <w:szCs w:val="32"/>
        </w:rPr>
      </w:pPr>
      <w:r>
        <w:rPr>
          <w:rFonts w:ascii="仿宋" w:hAnsi="仿宋" w:eastAsia="仿宋" w:cs="仿宋"/>
          <w:spacing w:val="7"/>
          <w:sz w:val="32"/>
          <w:szCs w:val="32"/>
        </w:rPr>
        <w:t>一、主要职能、职责</w:t>
      </w:r>
    </w:p>
    <w:p w14:paraId="47846AED">
      <w:pPr>
        <w:spacing w:line="600" w:lineRule="exact"/>
        <w:ind w:firstLine="672" w:firstLineChars="200"/>
        <w:rPr>
          <w:rFonts w:ascii="仿宋" w:hAnsi="仿宋" w:eastAsia="仿宋" w:cs="仿宋"/>
          <w:sz w:val="32"/>
          <w:szCs w:val="32"/>
        </w:rPr>
      </w:pPr>
      <w:r>
        <w:rPr>
          <w:rFonts w:ascii="仿宋" w:hAnsi="仿宋" w:eastAsia="仿宋" w:cs="仿宋"/>
          <w:spacing w:val="8"/>
          <w:position w:val="21"/>
          <w:sz w:val="32"/>
          <w:szCs w:val="32"/>
        </w:rPr>
        <w:t>二、</w:t>
      </w:r>
      <w:r>
        <w:rPr>
          <w:rFonts w:hint="eastAsia" w:ascii="仿宋" w:hAnsi="仿宋" w:eastAsia="仿宋" w:cs="仿宋"/>
          <w:spacing w:val="8"/>
          <w:position w:val="21"/>
          <w:sz w:val="32"/>
          <w:szCs w:val="32"/>
        </w:rPr>
        <w:t>单位</w:t>
      </w:r>
      <w:r>
        <w:rPr>
          <w:rFonts w:ascii="仿宋" w:hAnsi="仿宋" w:eastAsia="仿宋" w:cs="仿宋"/>
          <w:spacing w:val="8"/>
          <w:position w:val="21"/>
          <w:sz w:val="32"/>
          <w:szCs w:val="32"/>
        </w:rPr>
        <w:t>机构设置及预算</w:t>
      </w:r>
      <w:r>
        <w:rPr>
          <w:rFonts w:hint="eastAsia" w:ascii="仿宋" w:hAnsi="仿宋" w:eastAsia="仿宋" w:cs="仿宋"/>
          <w:spacing w:val="8"/>
          <w:position w:val="21"/>
          <w:sz w:val="32"/>
          <w:szCs w:val="32"/>
        </w:rPr>
        <w:t>单位</w:t>
      </w:r>
      <w:r>
        <w:rPr>
          <w:rFonts w:ascii="仿宋" w:hAnsi="仿宋" w:eastAsia="仿宋" w:cs="仿宋"/>
          <w:spacing w:val="8"/>
          <w:position w:val="21"/>
          <w:sz w:val="32"/>
          <w:szCs w:val="32"/>
        </w:rPr>
        <w:t>构成情况</w:t>
      </w:r>
    </w:p>
    <w:p w14:paraId="04705B40">
      <w:pPr>
        <w:spacing w:line="220" w:lineRule="auto"/>
        <w:ind w:firstLine="668" w:firstLineChars="200"/>
        <w:rPr>
          <w:rFonts w:ascii="仿宋" w:hAnsi="仿宋" w:eastAsia="仿宋" w:cs="仿宋"/>
          <w:sz w:val="31"/>
          <w:szCs w:val="31"/>
        </w:rPr>
      </w:pPr>
      <w:r>
        <w:rPr>
          <w:rFonts w:ascii="仿宋" w:hAnsi="仿宋" w:eastAsia="仿宋" w:cs="仿宋"/>
          <w:spacing w:val="7"/>
          <w:sz w:val="32"/>
          <w:szCs w:val="32"/>
        </w:rPr>
        <w:t>三、</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hint="eastAsia" w:ascii="仿宋" w:hAnsi="仿宋" w:eastAsia="仿宋" w:cs="仿宋"/>
          <w:sz w:val="32"/>
          <w:szCs w:val="32"/>
        </w:rPr>
        <w:t>年度单位</w:t>
      </w:r>
      <w:r>
        <w:rPr>
          <w:rFonts w:ascii="仿宋" w:hAnsi="仿宋" w:eastAsia="仿宋" w:cs="仿宋"/>
          <w:spacing w:val="7"/>
          <w:sz w:val="32"/>
          <w:szCs w:val="32"/>
        </w:rPr>
        <w:t>主要工作任务及目标</w:t>
      </w:r>
    </w:p>
    <w:p w14:paraId="56AE106D">
      <w:pPr>
        <w:spacing w:before="229" w:line="226" w:lineRule="auto"/>
        <w:rPr>
          <w:rFonts w:ascii="黑体" w:hAnsi="黑体" w:eastAsia="黑体" w:cs="黑体"/>
          <w:sz w:val="32"/>
          <w:szCs w:val="32"/>
        </w:rPr>
      </w:pPr>
      <w:r>
        <w:rPr>
          <w:rFonts w:ascii="黑体" w:hAnsi="黑体" w:eastAsia="黑体" w:cs="黑体"/>
          <w:spacing w:val="8"/>
          <w:sz w:val="32"/>
          <w:szCs w:val="32"/>
        </w:rPr>
        <w:t xml:space="preserve">第二部分 </w:t>
      </w:r>
      <w:r>
        <w:rPr>
          <w:rFonts w:hint="eastAsia" w:ascii="黑体" w:hAnsi="黑体" w:eastAsia="黑体" w:cs="黑体"/>
          <w:sz w:val="32"/>
          <w:szCs w:val="32"/>
        </w:rPr>
        <w:t>2026年度单位</w:t>
      </w:r>
      <w:r>
        <w:rPr>
          <w:rFonts w:ascii="黑体" w:hAnsi="黑体" w:eastAsia="黑体" w:cs="黑体"/>
          <w:spacing w:val="8"/>
          <w:sz w:val="32"/>
          <w:szCs w:val="32"/>
        </w:rPr>
        <w:t>预算情况说明</w:t>
      </w:r>
    </w:p>
    <w:p w14:paraId="3F1DBE3E">
      <w:pPr>
        <w:spacing w:before="221" w:line="222" w:lineRule="auto"/>
        <w:ind w:left="20" w:firstLine="668" w:firstLineChars="200"/>
        <w:rPr>
          <w:rFonts w:ascii="仿宋" w:hAnsi="仿宋" w:eastAsia="仿宋" w:cs="仿宋"/>
          <w:sz w:val="32"/>
          <w:szCs w:val="32"/>
        </w:rPr>
      </w:pPr>
      <w:r>
        <w:rPr>
          <w:rFonts w:ascii="仿宋" w:hAnsi="仿宋" w:eastAsia="仿宋" w:cs="仿宋"/>
          <w:spacing w:val="7"/>
          <w:sz w:val="32"/>
          <w:szCs w:val="32"/>
        </w:rPr>
        <w:t>一、收支预算总体情况说明</w:t>
      </w:r>
    </w:p>
    <w:p w14:paraId="212E2E62">
      <w:pPr>
        <w:spacing w:before="228" w:line="600" w:lineRule="exact"/>
        <w:ind w:left="17" w:firstLine="664" w:firstLineChars="200"/>
        <w:rPr>
          <w:rFonts w:ascii="仿宋" w:hAnsi="仿宋" w:eastAsia="仿宋" w:cs="仿宋"/>
          <w:sz w:val="32"/>
          <w:szCs w:val="32"/>
        </w:rPr>
      </w:pPr>
      <w:r>
        <w:rPr>
          <w:rFonts w:ascii="仿宋" w:hAnsi="仿宋" w:eastAsia="仿宋" w:cs="仿宋"/>
          <w:spacing w:val="6"/>
          <w:position w:val="21"/>
          <w:sz w:val="32"/>
          <w:szCs w:val="32"/>
        </w:rPr>
        <w:t>二、收入预算情况说明</w:t>
      </w:r>
    </w:p>
    <w:p w14:paraId="66193769">
      <w:pPr>
        <w:spacing w:before="1" w:line="221" w:lineRule="auto"/>
        <w:ind w:left="23" w:firstLine="664" w:firstLineChars="200"/>
        <w:rPr>
          <w:rFonts w:ascii="仿宋" w:hAnsi="仿宋" w:eastAsia="仿宋" w:cs="仿宋"/>
          <w:sz w:val="32"/>
          <w:szCs w:val="32"/>
        </w:rPr>
      </w:pPr>
      <w:r>
        <w:rPr>
          <w:rFonts w:ascii="仿宋" w:hAnsi="仿宋" w:eastAsia="仿宋" w:cs="仿宋"/>
          <w:spacing w:val="6"/>
          <w:sz w:val="32"/>
          <w:szCs w:val="32"/>
        </w:rPr>
        <w:t>三、支出预算情况说明</w:t>
      </w:r>
    </w:p>
    <w:p w14:paraId="752A9F33">
      <w:pPr>
        <w:spacing w:before="227" w:line="600" w:lineRule="exact"/>
        <w:ind w:left="37" w:firstLine="664" w:firstLineChars="200"/>
        <w:rPr>
          <w:rFonts w:ascii="仿宋" w:hAnsi="仿宋" w:eastAsia="仿宋" w:cs="仿宋"/>
          <w:sz w:val="32"/>
          <w:szCs w:val="32"/>
        </w:rPr>
      </w:pPr>
      <w:r>
        <w:rPr>
          <w:rFonts w:ascii="仿宋" w:hAnsi="仿宋" w:eastAsia="仿宋" w:cs="仿宋"/>
          <w:spacing w:val="6"/>
          <w:position w:val="21"/>
          <w:sz w:val="32"/>
          <w:szCs w:val="32"/>
        </w:rPr>
        <w:t>四、财政拨款收支预算总体情况说明</w:t>
      </w:r>
    </w:p>
    <w:p w14:paraId="62849AD9">
      <w:pPr>
        <w:spacing w:before="2" w:line="221" w:lineRule="auto"/>
        <w:ind w:left="11" w:firstLine="672" w:firstLineChars="200"/>
        <w:rPr>
          <w:rFonts w:ascii="仿宋" w:hAnsi="仿宋" w:eastAsia="仿宋" w:cs="仿宋"/>
          <w:sz w:val="32"/>
          <w:szCs w:val="32"/>
        </w:rPr>
      </w:pPr>
      <w:r>
        <w:rPr>
          <w:rFonts w:ascii="仿宋" w:hAnsi="仿宋" w:eastAsia="仿宋" w:cs="仿宋"/>
          <w:spacing w:val="8"/>
          <w:sz w:val="32"/>
          <w:szCs w:val="32"/>
        </w:rPr>
        <w:t>五、一般公共预算支出预算情况说明</w:t>
      </w:r>
    </w:p>
    <w:p w14:paraId="0199FB58">
      <w:pPr>
        <w:spacing w:before="227" w:line="222" w:lineRule="auto"/>
        <w:ind w:left="13" w:firstLine="672" w:firstLineChars="200"/>
        <w:rPr>
          <w:rFonts w:ascii="仿宋" w:hAnsi="仿宋" w:eastAsia="仿宋" w:cs="仿宋"/>
          <w:sz w:val="32"/>
          <w:szCs w:val="32"/>
        </w:rPr>
      </w:pPr>
      <w:r>
        <w:rPr>
          <w:rFonts w:ascii="仿宋" w:hAnsi="仿宋" w:eastAsia="仿宋" w:cs="仿宋"/>
          <w:spacing w:val="8"/>
          <w:sz w:val="32"/>
          <w:szCs w:val="32"/>
        </w:rPr>
        <w:t>六、一般公共预算基本支出预算情况说明</w:t>
      </w:r>
    </w:p>
    <w:p w14:paraId="37AEDDFD">
      <w:pPr>
        <w:spacing w:before="227" w:line="222" w:lineRule="auto"/>
        <w:ind w:left="7" w:firstLine="660" w:firstLineChars="200"/>
        <w:rPr>
          <w:rFonts w:ascii="仿宋" w:hAnsi="仿宋" w:eastAsia="仿宋" w:cs="仿宋"/>
          <w:sz w:val="32"/>
          <w:szCs w:val="32"/>
        </w:rPr>
      </w:pPr>
      <w:r>
        <w:rPr>
          <w:rFonts w:ascii="仿宋" w:hAnsi="仿宋" w:eastAsia="仿宋" w:cs="仿宋"/>
          <w:spacing w:val="5"/>
          <w:sz w:val="32"/>
          <w:szCs w:val="32"/>
        </w:rPr>
        <w:t>七、一般公共预算</w:t>
      </w:r>
      <w:r>
        <w:rPr>
          <w:rFonts w:ascii="仿宋" w:hAnsi="仿宋" w:eastAsia="仿宋" w:cs="仿宋"/>
          <w:spacing w:val="-102"/>
          <w:sz w:val="32"/>
          <w:szCs w:val="32"/>
        </w:rPr>
        <w:t xml:space="preserve"> </w:t>
      </w:r>
      <w:r>
        <w:rPr>
          <w:rFonts w:ascii="仿宋" w:hAnsi="仿宋" w:eastAsia="仿宋" w:cs="仿宋"/>
          <w:spacing w:val="5"/>
          <w:sz w:val="32"/>
          <w:szCs w:val="32"/>
        </w:rPr>
        <w:t>“</w:t>
      </w:r>
      <w:r>
        <w:rPr>
          <w:rFonts w:ascii="仿宋" w:hAnsi="仿宋" w:eastAsia="仿宋" w:cs="仿宋"/>
          <w:spacing w:val="-119"/>
          <w:sz w:val="32"/>
          <w:szCs w:val="32"/>
        </w:rPr>
        <w:t xml:space="preserve"> </w:t>
      </w:r>
      <w:r>
        <w:rPr>
          <w:rFonts w:ascii="仿宋" w:hAnsi="仿宋" w:eastAsia="仿宋" w:cs="仿宋"/>
          <w:spacing w:val="5"/>
          <w:sz w:val="32"/>
          <w:szCs w:val="32"/>
        </w:rPr>
        <w:t>三公”经费支出预算情况</w:t>
      </w:r>
      <w:r>
        <w:rPr>
          <w:rFonts w:ascii="仿宋" w:hAnsi="仿宋" w:eastAsia="仿宋" w:cs="仿宋"/>
          <w:spacing w:val="4"/>
          <w:sz w:val="32"/>
          <w:szCs w:val="32"/>
        </w:rPr>
        <w:t>说明</w:t>
      </w:r>
    </w:p>
    <w:p w14:paraId="2AE327A3">
      <w:pPr>
        <w:spacing w:before="228" w:line="220" w:lineRule="auto"/>
        <w:ind w:left="6" w:firstLine="672" w:firstLineChars="200"/>
        <w:rPr>
          <w:rFonts w:ascii="仿宋" w:hAnsi="仿宋" w:eastAsia="仿宋" w:cs="仿宋"/>
          <w:sz w:val="32"/>
          <w:szCs w:val="32"/>
        </w:rPr>
      </w:pPr>
      <w:r>
        <w:rPr>
          <w:rFonts w:ascii="仿宋" w:hAnsi="仿宋" w:eastAsia="仿宋" w:cs="仿宋"/>
          <w:spacing w:val="8"/>
          <w:sz w:val="32"/>
          <w:szCs w:val="32"/>
        </w:rPr>
        <w:t>八、政府性基金预算支出预算情况说明</w:t>
      </w:r>
    </w:p>
    <w:p w14:paraId="44DD3C45">
      <w:pPr>
        <w:spacing w:before="230" w:line="600" w:lineRule="exact"/>
        <w:ind w:left="3" w:firstLine="676" w:firstLineChars="200"/>
        <w:rPr>
          <w:rFonts w:ascii="仿宋" w:hAnsi="仿宋" w:eastAsia="仿宋" w:cs="仿宋"/>
          <w:sz w:val="32"/>
          <w:szCs w:val="32"/>
        </w:rPr>
      </w:pPr>
      <w:r>
        <w:rPr>
          <w:rFonts w:ascii="仿宋" w:hAnsi="仿宋" w:eastAsia="仿宋" w:cs="仿宋"/>
          <w:spacing w:val="9"/>
          <w:position w:val="21"/>
          <w:sz w:val="32"/>
          <w:szCs w:val="32"/>
        </w:rPr>
        <w:t>九、国有资本经营预算支出预算情况说明</w:t>
      </w:r>
    </w:p>
    <w:p w14:paraId="64BE77CA">
      <w:pPr>
        <w:spacing w:before="2" w:line="221" w:lineRule="auto"/>
        <w:ind w:left="13" w:firstLine="668" w:firstLineChars="200"/>
        <w:rPr>
          <w:rFonts w:ascii="仿宋" w:hAnsi="仿宋" w:eastAsia="仿宋" w:cs="仿宋"/>
          <w:sz w:val="32"/>
          <w:szCs w:val="32"/>
        </w:rPr>
      </w:pPr>
      <w:r>
        <w:rPr>
          <w:rFonts w:ascii="仿宋" w:hAnsi="仿宋" w:eastAsia="仿宋" w:cs="仿宋"/>
          <w:spacing w:val="7"/>
          <w:sz w:val="32"/>
          <w:szCs w:val="32"/>
        </w:rPr>
        <w:t>十、项目支出预算情况说明</w:t>
      </w:r>
    </w:p>
    <w:p w14:paraId="426B08CD">
      <w:pPr>
        <w:spacing w:before="227" w:line="600" w:lineRule="exact"/>
        <w:ind w:left="13" w:firstLine="672" w:firstLineChars="200"/>
        <w:rPr>
          <w:rFonts w:ascii="仿宋" w:hAnsi="仿宋" w:eastAsia="仿宋" w:cs="仿宋"/>
          <w:sz w:val="32"/>
          <w:szCs w:val="32"/>
        </w:rPr>
      </w:pPr>
      <w:r>
        <w:rPr>
          <w:rFonts w:ascii="仿宋" w:hAnsi="仿宋" w:eastAsia="仿宋" w:cs="仿宋"/>
          <w:spacing w:val="8"/>
          <w:position w:val="21"/>
          <w:sz w:val="32"/>
          <w:szCs w:val="32"/>
        </w:rPr>
        <w:t>十一、机构运行经费支出预算情况说明</w:t>
      </w:r>
    </w:p>
    <w:p w14:paraId="34CE17B4">
      <w:pPr>
        <w:spacing w:before="2" w:line="221" w:lineRule="auto"/>
        <w:ind w:left="13" w:firstLine="672" w:firstLineChars="200"/>
        <w:rPr>
          <w:rFonts w:ascii="仿宋" w:hAnsi="仿宋" w:eastAsia="仿宋" w:cs="仿宋"/>
          <w:sz w:val="32"/>
          <w:szCs w:val="32"/>
        </w:rPr>
      </w:pPr>
      <w:r>
        <w:rPr>
          <w:rFonts w:ascii="仿宋" w:hAnsi="仿宋" w:eastAsia="仿宋" w:cs="仿宋"/>
          <w:spacing w:val="8"/>
          <w:sz w:val="32"/>
          <w:szCs w:val="32"/>
        </w:rPr>
        <w:t>十二、政府采购支出预算情况说明</w:t>
      </w:r>
    </w:p>
    <w:p w14:paraId="5761BE90">
      <w:pPr>
        <w:spacing w:before="227" w:line="600" w:lineRule="exact"/>
        <w:ind w:left="13" w:firstLine="668" w:firstLineChars="200"/>
        <w:rPr>
          <w:rFonts w:ascii="仿宋" w:hAnsi="仿宋" w:eastAsia="仿宋" w:cs="仿宋"/>
          <w:sz w:val="32"/>
          <w:szCs w:val="32"/>
        </w:rPr>
      </w:pPr>
      <w:r>
        <w:rPr>
          <w:rFonts w:ascii="仿宋" w:hAnsi="仿宋" w:eastAsia="仿宋" w:cs="仿宋"/>
          <w:spacing w:val="7"/>
          <w:position w:val="21"/>
          <w:sz w:val="32"/>
          <w:szCs w:val="32"/>
        </w:rPr>
        <w:t>十三、国有资产占用情况说明</w:t>
      </w:r>
    </w:p>
    <w:p w14:paraId="1F8EB018">
      <w:pPr>
        <w:spacing w:before="1" w:line="222" w:lineRule="auto"/>
        <w:ind w:left="13" w:firstLine="668" w:firstLineChars="200"/>
      </w:pPr>
      <w:r>
        <w:rPr>
          <w:rFonts w:ascii="仿宋" w:hAnsi="仿宋" w:eastAsia="仿宋" w:cs="仿宋"/>
          <w:spacing w:val="7"/>
          <w:sz w:val="32"/>
          <w:szCs w:val="32"/>
        </w:rPr>
        <w:t>十四、项目绩效目标情况说明</w:t>
      </w:r>
    </w:p>
    <w:p w14:paraId="1F846A69">
      <w:pPr>
        <w:spacing w:line="160" w:lineRule="exact"/>
        <w:sectPr>
          <w:footerReference r:id="rId4" w:type="default"/>
          <w:pgSz w:w="11910" w:h="16840"/>
          <w:pgMar w:top="1431" w:right="1786" w:bottom="1106" w:left="1651" w:header="0" w:footer="853" w:gutter="0"/>
          <w:cols w:equalWidth="0" w:num="1">
            <w:col w:w="8472"/>
          </w:cols>
        </w:sectPr>
      </w:pPr>
    </w:p>
    <w:p w14:paraId="613DCA37">
      <w:pPr>
        <w:widowControl/>
        <w:spacing w:line="360" w:lineRule="auto"/>
        <w:jc w:val="left"/>
        <w:rPr>
          <w:sz w:val="22"/>
          <w:szCs w:val="28"/>
        </w:rPr>
      </w:pPr>
      <w:r>
        <w:rPr>
          <w:rFonts w:ascii="黑体" w:hAnsi="宋体" w:eastAsia="黑体" w:cs="黑体"/>
          <w:color w:val="000000"/>
          <w:kern w:val="0"/>
          <w:sz w:val="32"/>
          <w:szCs w:val="32"/>
          <w:lang w:bidi="ar"/>
        </w:rPr>
        <w:t xml:space="preserve">第三部分 名词解释 </w:t>
      </w:r>
    </w:p>
    <w:p w14:paraId="5770BF4B">
      <w:pPr>
        <w:widowControl/>
        <w:spacing w:line="360" w:lineRule="auto"/>
        <w:jc w:val="left"/>
        <w:rPr>
          <w:sz w:val="22"/>
          <w:szCs w:val="28"/>
        </w:rPr>
      </w:pPr>
      <w:r>
        <w:rPr>
          <w:rFonts w:hint="eastAsia" w:ascii="黑体" w:hAnsi="宋体" w:eastAsia="黑体" w:cs="黑体"/>
          <w:color w:val="000000"/>
          <w:kern w:val="0"/>
          <w:sz w:val="32"/>
          <w:szCs w:val="32"/>
          <w:lang w:bidi="ar"/>
        </w:rPr>
        <w:t xml:space="preserve">第四部分 预算公开联系方式及信息反馈渠道 </w:t>
      </w:r>
    </w:p>
    <w:p w14:paraId="769938E5">
      <w:pPr>
        <w:widowControl/>
        <w:spacing w:line="360" w:lineRule="auto"/>
        <w:jc w:val="left"/>
        <w:rPr>
          <w:sz w:val="22"/>
          <w:szCs w:val="28"/>
        </w:rPr>
      </w:pPr>
      <w:r>
        <w:rPr>
          <w:rFonts w:hint="eastAsia" w:ascii="黑体" w:hAnsi="宋体" w:eastAsia="黑体" w:cs="黑体"/>
          <w:color w:val="000000"/>
          <w:kern w:val="0"/>
          <w:sz w:val="32"/>
          <w:szCs w:val="32"/>
          <w:lang w:bidi="ar"/>
        </w:rPr>
        <w:t>第五部分 2026年度单位预算表</w:t>
      </w:r>
    </w:p>
    <w:p w14:paraId="5A56969D">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一、收支总表</w:t>
      </w:r>
    </w:p>
    <w:p w14:paraId="6AA8D712">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二、收入总表</w:t>
      </w:r>
    </w:p>
    <w:p w14:paraId="21628345">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三、支出总表</w:t>
      </w:r>
    </w:p>
    <w:p w14:paraId="639F65EE">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四、财政拨款收支总表</w:t>
      </w:r>
    </w:p>
    <w:p w14:paraId="0E1F77AF">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五、一般公共预算支出表</w:t>
      </w:r>
    </w:p>
    <w:p w14:paraId="7FE49077">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六、一般公共预算基本支出表</w:t>
      </w:r>
    </w:p>
    <w:p w14:paraId="2CF567DD">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七、一般公共预算“三公”经费支出表</w:t>
      </w:r>
    </w:p>
    <w:p w14:paraId="22210113">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八、政府性基金预算支出表</w:t>
      </w:r>
    </w:p>
    <w:p w14:paraId="23DFA880">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九、国有资本经营预算支出表</w:t>
      </w:r>
    </w:p>
    <w:p w14:paraId="38B3C6C3">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十、项目支出表</w:t>
      </w:r>
    </w:p>
    <w:p w14:paraId="3C43AE35">
      <w:pPr>
        <w:pStyle w:val="5"/>
        <w:spacing w:line="600" w:lineRule="exact"/>
        <w:ind w:firstLine="608" w:firstLineChars="200"/>
        <w:rPr>
          <w:rFonts w:ascii="仿宋" w:hAnsi="仿宋" w:eastAsia="仿宋" w:cs="仿宋"/>
          <w:w w:val="95"/>
          <w:sz w:val="32"/>
          <w:szCs w:val="32"/>
          <w:lang w:eastAsia="zh-CN"/>
        </w:rPr>
      </w:pPr>
      <w:r>
        <w:rPr>
          <w:rFonts w:hint="eastAsia" w:ascii="仿宋" w:hAnsi="仿宋" w:eastAsia="仿宋" w:cs="仿宋"/>
          <w:w w:val="95"/>
          <w:sz w:val="32"/>
          <w:szCs w:val="32"/>
          <w:lang w:eastAsia="zh-CN"/>
        </w:rPr>
        <w:t>十一、项目绩效目标表</w:t>
      </w:r>
    </w:p>
    <w:p w14:paraId="273F9FF8">
      <w:pPr>
        <w:pStyle w:val="5"/>
        <w:spacing w:line="600" w:lineRule="exact"/>
        <w:ind w:firstLine="608" w:firstLineChars="200"/>
        <w:rPr>
          <w:rFonts w:ascii="Times New Roman" w:hAnsi="Times New Roman" w:eastAsia="仿宋_GB2312" w:cs="仿宋"/>
          <w:w w:val="95"/>
          <w:sz w:val="32"/>
          <w:szCs w:val="32"/>
          <w:lang w:eastAsia="zh-CN"/>
        </w:rPr>
      </w:pPr>
      <w:r>
        <w:rPr>
          <w:rFonts w:hint="eastAsia" w:ascii="仿宋" w:hAnsi="仿宋" w:eastAsia="仿宋" w:cs="仿宋"/>
          <w:w w:val="95"/>
          <w:sz w:val="32"/>
          <w:szCs w:val="32"/>
          <w:lang w:eastAsia="zh-CN"/>
        </w:rPr>
        <w:t>十二、政府采购预算表</w:t>
      </w:r>
    </w:p>
    <w:p w14:paraId="68575BD5">
      <w:pPr>
        <w:spacing w:before="231" w:line="222" w:lineRule="auto"/>
        <w:rPr>
          <w:rFonts w:ascii="仿宋" w:hAnsi="仿宋" w:eastAsia="仿宋" w:cs="仿宋"/>
          <w:spacing w:val="5"/>
          <w:sz w:val="31"/>
          <w:szCs w:val="31"/>
        </w:rPr>
      </w:pPr>
    </w:p>
    <w:p w14:paraId="14EA6D23">
      <w:pPr>
        <w:spacing w:before="231" w:line="222" w:lineRule="auto"/>
        <w:rPr>
          <w:rFonts w:ascii="仿宋" w:hAnsi="仿宋" w:eastAsia="仿宋" w:cs="仿宋"/>
          <w:sz w:val="31"/>
          <w:szCs w:val="31"/>
        </w:rPr>
      </w:pPr>
    </w:p>
    <w:p w14:paraId="5B898A7B">
      <w:pPr>
        <w:spacing w:line="222" w:lineRule="auto"/>
        <w:rPr>
          <w:rFonts w:ascii="仿宋" w:hAnsi="仿宋" w:eastAsia="仿宋" w:cs="仿宋"/>
          <w:sz w:val="31"/>
          <w:szCs w:val="31"/>
        </w:rPr>
        <w:sectPr>
          <w:footerReference r:id="rId5" w:type="default"/>
          <w:pgSz w:w="11910" w:h="16840"/>
          <w:pgMar w:top="1431" w:right="1608" w:bottom="1104" w:left="1655" w:header="0" w:footer="853" w:gutter="0"/>
          <w:cols w:space="720" w:num="1"/>
        </w:sectPr>
      </w:pPr>
    </w:p>
    <w:p w14:paraId="2B9C6914">
      <w:pPr>
        <w:spacing w:line="600" w:lineRule="exact"/>
        <w:jc w:val="center"/>
        <w:outlineLvl w:val="1"/>
        <w:rPr>
          <w:rFonts w:ascii="方正小标宋简体" w:hAnsi="方正小标宋简体" w:eastAsia="方正小标宋简体" w:cs="方正小标宋简体"/>
          <w:sz w:val="36"/>
          <w:szCs w:val="36"/>
        </w:rPr>
      </w:pPr>
      <w:bookmarkStart w:id="3" w:name="_Toc30742"/>
      <w:r>
        <w:rPr>
          <w:rFonts w:hint="eastAsia" w:ascii="黑体" w:hAnsi="黑体" w:eastAsia="黑体" w:cs="黑体"/>
          <w:sz w:val="36"/>
          <w:szCs w:val="36"/>
        </w:rPr>
        <w:t>第一部分  单位概况</w:t>
      </w:r>
      <w:bookmarkEnd w:id="3"/>
    </w:p>
    <w:p w14:paraId="67932E1C">
      <w:pPr>
        <w:pStyle w:val="2"/>
        <w:ind w:left="0" w:leftChars="0" w:firstLine="0"/>
        <w:rPr>
          <w:rFonts w:hint="default"/>
          <w:sz w:val="36"/>
          <w:szCs w:val="36"/>
        </w:rPr>
      </w:pPr>
    </w:p>
    <w:p w14:paraId="33AE1801">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240D8000">
      <w:pPr>
        <w:spacing w:line="600" w:lineRule="exact"/>
        <w:ind w:firstLine="640" w:firstLineChars="200"/>
        <w:rPr>
          <w:rFonts w:ascii="楷体" w:hAnsi="楷体" w:eastAsia="楷体" w:cs="楷体"/>
          <w:sz w:val="32"/>
          <w:szCs w:val="32"/>
        </w:rPr>
      </w:pPr>
      <w:bookmarkStart w:id="4" w:name="PO_part1Responsibilities"/>
      <w:r>
        <w:rPr>
          <w:rFonts w:hint="eastAsia" w:ascii="楷体" w:hAnsi="楷体" w:eastAsia="楷体" w:cs="楷体"/>
          <w:sz w:val="32"/>
          <w:szCs w:val="32"/>
        </w:rPr>
        <w:t>（一）单位职能</w:t>
      </w:r>
    </w:p>
    <w:p w14:paraId="09E77CC1">
      <w:pPr>
        <w:spacing w:line="600" w:lineRule="exact"/>
        <w:ind w:firstLine="640" w:firstLineChars="200"/>
        <w:rPr>
          <w:rFonts w:eastAsia="仿宋_GB2312"/>
        </w:rPr>
      </w:pPr>
      <w:r>
        <w:rPr>
          <w:rFonts w:hint="eastAsia" w:ascii="Times New Roman" w:hAnsi="Times New Roman" w:eastAsia="仿宋_GB2312"/>
          <w:sz w:val="32"/>
          <w:szCs w:val="32"/>
        </w:rPr>
        <w:t>根据中共内蒙古自治区委员会机构编制委员会印发的《关于自治区市场监督管理局所属事业单位机构职能的批复》（内机编办发〔2020〕148号），设立内蒙古自治区特种设备检验研究院，为自治区市场监督管理局所属正处级公益二类事业单位。内蒙古自治区特种设备检验研究院通辽分院为内蒙古自治区特种设备检验研究院下设驻盟市副处级分院。</w:t>
      </w:r>
    </w:p>
    <w:p w14:paraId="75555508">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（二）单位职责</w:t>
      </w:r>
    </w:p>
    <w:p w14:paraId="6E4490A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1.开展特种设备（含进口）监督检验、定期检验、仲裁检验、司法鉴定、型式实验、锅炉水（介）质检验、无损检测、能效测试、材料分析、环保检测、安全阀校验及其他阀门检验。</w:t>
      </w:r>
    </w:p>
    <w:p w14:paraId="7BC12C7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2.承担特种设备安全附件、仪表及安全保护装置的检验工作。</w:t>
      </w:r>
    </w:p>
    <w:p w14:paraId="52EDBAE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3.开展长输管道、公用管道、厂（场）内机动车辆、大型游乐设施等野外在用特种设备检验检测工作。</w:t>
      </w:r>
    </w:p>
    <w:p w14:paraId="34182D3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4.承担安全生产、职业卫生、烟花爆竹、劳动防护用品等检测与评价工作。</w:t>
      </w:r>
    </w:p>
    <w:p w14:paraId="603210C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5.承担安全生产、特种设备及相关领域从业人员的法规宣传、技能培训，协助做好从业人员相关考核工作。</w:t>
      </w:r>
    </w:p>
    <w:p w14:paraId="5055B64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6.承担特种设备相关科学研究、成果转化和推广应用工作。</w:t>
      </w:r>
    </w:p>
    <w:p w14:paraId="67B21E2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7.按取得资质开展相关业务及其他委托性检验检测、技术服务工作。</w:t>
      </w:r>
    </w:p>
    <w:p w14:paraId="366C0417">
      <w:pPr>
        <w:spacing w:line="600" w:lineRule="exact"/>
        <w:ind w:firstLine="640" w:firstLineChars="200"/>
        <w:rPr>
          <w:rFonts w:ascii="仿宋" w:hAnsi="仿宋" w:eastAsia="仿宋" w:cs="仿宋"/>
          <w:sz w:val="31"/>
          <w:szCs w:val="31"/>
        </w:rPr>
      </w:pPr>
      <w:r>
        <w:rPr>
          <w:rFonts w:hint="eastAsia" w:ascii="Times New Roman" w:hAnsi="Times New Roman" w:eastAsia="仿宋_GB2312"/>
          <w:sz w:val="32"/>
          <w:szCs w:val="32"/>
        </w:rPr>
        <w:t>8.承担自治区市场监督管理局交办的其他相关工作</w:t>
      </w:r>
      <w:r>
        <w:rPr>
          <w:rFonts w:hint="eastAsia" w:ascii="Times New Roman" w:hAnsi="Times New Roman" w:eastAsia="仿宋_GB2312"/>
          <w:sz w:val="11"/>
          <w:szCs w:val="11"/>
        </w:rPr>
        <w:t xml:space="preserve"> </w:t>
      </w:r>
      <w:bookmarkEnd w:id="4"/>
      <w:r>
        <w:rPr>
          <w:rFonts w:ascii="仿宋" w:hAnsi="仿宋" w:eastAsia="仿宋" w:cs="仿宋"/>
          <w:spacing w:val="5"/>
          <w:sz w:val="31"/>
          <w:szCs w:val="31"/>
        </w:rPr>
        <w:t>。</w:t>
      </w:r>
    </w:p>
    <w:p w14:paraId="3F4EE608">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51BB8A8F">
      <w:pPr>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1．根据单位职责分工，本单位</w:t>
      </w:r>
      <w:bookmarkStart w:id="5" w:name="PO_part1Responsibilities1"/>
      <w:r>
        <w:rPr>
          <w:rFonts w:hint="eastAsia" w:ascii="Times New Roman" w:hAnsi="Times New Roman" w:eastAsia="仿宋_GB2312"/>
          <w:sz w:val="32"/>
          <w:szCs w:val="32"/>
        </w:rPr>
        <w:t>正科级机构5个：综合管理部、业务管理部、机电类特种设备检验部、承压类特种设备检验部、气瓶检验部。</w:t>
      </w:r>
      <w:bookmarkEnd w:id="5"/>
    </w:p>
    <w:p w14:paraId="1BF712D5">
      <w:pPr>
        <w:spacing w:line="600" w:lineRule="exact"/>
        <w:ind w:firstLine="640" w:firstLineChars="200"/>
        <w:rPr>
          <w:rFonts w:ascii="Times New Roman" w:hAnsi="Times New Roman" w:eastAsia="仿宋_GB2312"/>
          <w:sz w:val="11"/>
          <w:szCs w:val="11"/>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bookmarkStart w:id="6" w:name="PO_part1Responsibilities2"/>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6"/>
      <w:r>
        <w:rPr>
          <w:rFonts w:hint="eastAsia" w:ascii="Times New Roman" w:hAnsi="Times New Roman" w:eastAsia="仿宋_GB2312"/>
          <w:sz w:val="32"/>
          <w:szCs w:val="32"/>
        </w:rPr>
        <w:t>2026年单位汇总预算编制范围的预算单位共计</w:t>
      </w:r>
      <w:bookmarkStart w:id="7" w:name="PO_part1Responsibilities3"/>
      <w:r>
        <w:rPr>
          <w:rFonts w:hint="eastAsia" w:ascii="Times New Roman" w:hAnsi="Times New Roman" w:eastAsia="仿宋_GB2312"/>
          <w:sz w:val="32"/>
          <w:szCs w:val="32"/>
        </w:rPr>
        <w:t>1</w:t>
      </w:r>
      <w:r>
        <w:rPr>
          <w:rFonts w:hint="eastAsia" w:ascii="Times New Roman" w:hAnsi="Times New Roman" w:eastAsia="仿宋_GB2312"/>
          <w:sz w:val="11"/>
          <w:szCs w:val="11"/>
        </w:rPr>
        <w:t xml:space="preserve"> </w:t>
      </w:r>
      <w:bookmarkEnd w:id="7"/>
      <w:r>
        <w:rPr>
          <w:rFonts w:hint="eastAsia" w:ascii="Times New Roman" w:hAnsi="Times New Roman" w:eastAsia="仿宋_GB2312"/>
          <w:sz w:val="32"/>
          <w:szCs w:val="32"/>
        </w:rPr>
        <w:t>家，具体包括：</w:t>
      </w:r>
      <w:bookmarkStart w:id="8" w:name="PO_part1Responsibilities4"/>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8"/>
      <w:r>
        <w:rPr>
          <w:rFonts w:hint="eastAsia" w:ascii="Times New Roman" w:hAnsi="Times New Roman" w:eastAsia="仿宋_GB2312"/>
          <w:sz w:val="32"/>
          <w:szCs w:val="32"/>
        </w:rPr>
        <w:t xml:space="preserve">。详细情况见下表： </w:t>
      </w:r>
    </w:p>
    <w:p w14:paraId="6228B35A">
      <w:pPr>
        <w:pStyle w:val="2"/>
        <w:spacing w:line="600" w:lineRule="exact"/>
        <w:ind w:left="0" w:leftChars="0" w:firstLine="0"/>
        <w:jc w:val="center"/>
        <w:rPr>
          <w:rFonts w:hint="default" w:eastAsia="仿宋_GB2312"/>
        </w:rPr>
      </w:pPr>
      <w:r>
        <w:rPr>
          <w:rFonts w:ascii="Times New Roman" w:hAnsi="Times New Roman" w:eastAsia="仿宋_GB2312"/>
          <w:b/>
          <w:bCs/>
          <w:sz w:val="32"/>
          <w:szCs w:val="32"/>
        </w:rPr>
        <w:t>单位情况表</w:t>
      </w:r>
    </w:p>
    <w:p w14:paraId="4CCC9E5B">
      <w:pPr>
        <w:spacing w:line="22" w:lineRule="exact"/>
      </w:pPr>
    </w:p>
    <w:tbl>
      <w:tblPr>
        <w:tblStyle w:val="17"/>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258"/>
        <w:gridCol w:w="4602"/>
      </w:tblGrid>
      <w:tr w14:paraId="0787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66" w:type="dxa"/>
            <w:textDirection w:val="tbRlV"/>
          </w:tcPr>
          <w:p w14:paraId="665B7CCA">
            <w:pPr>
              <w:spacing w:before="174" w:line="214" w:lineRule="auto"/>
              <w:ind w:left="51"/>
              <w:rPr>
                <w:rFonts w:ascii="仿宋" w:hAnsi="仿宋" w:eastAsia="仿宋" w:cs="仿宋"/>
                <w:kern w:val="0"/>
                <w:sz w:val="30"/>
                <w:szCs w:val="30"/>
              </w:rPr>
            </w:pPr>
            <w:r>
              <w:rPr>
                <w:rFonts w:ascii="仿宋" w:hAnsi="仿宋" w:eastAsia="仿宋" w:cs="仿宋"/>
                <w:spacing w:val="8"/>
                <w:kern w:val="0"/>
                <w:sz w:val="30"/>
                <w:szCs w:val="30"/>
              </w:rPr>
              <w:t>序</w:t>
            </w:r>
            <w:r>
              <w:rPr>
                <w:rFonts w:ascii="仿宋" w:hAnsi="仿宋" w:eastAsia="仿宋" w:cs="仿宋"/>
                <w:spacing w:val="-56"/>
                <w:kern w:val="0"/>
                <w:sz w:val="30"/>
                <w:szCs w:val="30"/>
              </w:rPr>
              <w:t xml:space="preserve"> </w:t>
            </w:r>
            <w:r>
              <w:rPr>
                <w:rFonts w:ascii="仿宋" w:hAnsi="仿宋" w:eastAsia="仿宋" w:cs="仿宋"/>
                <w:spacing w:val="8"/>
                <w:kern w:val="0"/>
                <w:sz w:val="30"/>
                <w:szCs w:val="30"/>
              </w:rPr>
              <w:t>号</w:t>
            </w:r>
          </w:p>
        </w:tc>
        <w:tc>
          <w:tcPr>
            <w:tcW w:w="3258" w:type="dxa"/>
          </w:tcPr>
          <w:p w14:paraId="329B4080">
            <w:pPr>
              <w:spacing w:before="250" w:line="222" w:lineRule="auto"/>
              <w:ind w:left="1024"/>
              <w:rPr>
                <w:rFonts w:ascii="仿宋" w:hAnsi="仿宋" w:eastAsia="仿宋" w:cs="仿宋"/>
                <w:kern w:val="0"/>
                <w:sz w:val="30"/>
                <w:szCs w:val="30"/>
              </w:rPr>
            </w:pPr>
            <w:r>
              <w:rPr>
                <w:rFonts w:hint="eastAsia" w:ascii="仿宋" w:hAnsi="仿宋" w:eastAsia="仿宋" w:cs="仿宋"/>
                <w:spacing w:val="4"/>
                <w:kern w:val="0"/>
                <w:sz w:val="30"/>
                <w:szCs w:val="30"/>
              </w:rPr>
              <w:t>单位</w:t>
            </w:r>
            <w:r>
              <w:rPr>
                <w:rFonts w:ascii="仿宋" w:hAnsi="仿宋" w:eastAsia="仿宋" w:cs="仿宋"/>
                <w:spacing w:val="4"/>
                <w:kern w:val="0"/>
                <w:sz w:val="30"/>
                <w:szCs w:val="30"/>
              </w:rPr>
              <w:t>名称</w:t>
            </w:r>
          </w:p>
        </w:tc>
        <w:tc>
          <w:tcPr>
            <w:tcW w:w="4602" w:type="dxa"/>
          </w:tcPr>
          <w:p w14:paraId="71F1097E">
            <w:pPr>
              <w:spacing w:before="251" w:line="221" w:lineRule="auto"/>
              <w:ind w:left="1697"/>
              <w:rPr>
                <w:rFonts w:ascii="仿宋" w:hAnsi="仿宋" w:eastAsia="仿宋" w:cs="仿宋"/>
                <w:kern w:val="0"/>
                <w:sz w:val="30"/>
                <w:szCs w:val="30"/>
              </w:rPr>
            </w:pPr>
            <w:r>
              <w:rPr>
                <w:rFonts w:hint="eastAsia" w:ascii="仿宋" w:hAnsi="仿宋" w:eastAsia="仿宋" w:cs="仿宋"/>
                <w:kern w:val="0"/>
                <w:sz w:val="30"/>
                <w:szCs w:val="30"/>
              </w:rPr>
              <w:t>单位性质</w:t>
            </w:r>
          </w:p>
        </w:tc>
      </w:tr>
      <w:tr w14:paraId="38284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66" w:type="dxa"/>
          </w:tcPr>
          <w:p w14:paraId="5E87EFDC">
            <w:pPr>
              <w:spacing w:before="101" w:line="193" w:lineRule="auto"/>
              <w:ind w:left="265"/>
              <w:rPr>
                <w:rFonts w:ascii="Times New Roman" w:hAnsi="Times New Roman" w:eastAsia="宋体" w:cs="Times New Roman"/>
                <w:kern w:val="0"/>
                <w:sz w:val="32"/>
                <w:szCs w:val="32"/>
              </w:rPr>
            </w:pPr>
            <w:bookmarkStart w:id="9" w:name="PO_part1A2B2Table1"/>
            <w:r>
              <w:rPr>
                <w:rFonts w:hint="eastAsia" w:ascii="Times New Roman" w:hAnsi="Times New Roman" w:eastAsia="宋体" w:cs="Times New Roman"/>
                <w:kern w:val="0"/>
                <w:sz w:val="32"/>
                <w:szCs w:val="32"/>
              </w:rPr>
              <w:t>1</w:t>
            </w:r>
          </w:p>
        </w:tc>
        <w:tc>
          <w:tcPr>
            <w:tcW w:w="3258" w:type="dxa"/>
            <w:vAlign w:val="center"/>
          </w:tcPr>
          <w:p w14:paraId="6D71821A">
            <w:pPr>
              <w:spacing w:before="96" w:line="181" w:lineRule="auto"/>
              <w:ind w:left="114"/>
              <w:rPr>
                <w:rFonts w:ascii="仿宋" w:hAnsi="仿宋" w:eastAsia="仿宋" w:cs="仿宋"/>
                <w:spacing w:val="-1"/>
                <w:kern w:val="0"/>
                <w:sz w:val="32"/>
                <w:szCs w:val="32"/>
              </w:rPr>
            </w:pPr>
            <w:r>
              <w:rPr>
                <w:rFonts w:hint="eastAsia" w:ascii="Times New Roman" w:hAnsi="Times New Roman" w:eastAsia="仿宋_GB2312" w:cs="Times New Roman"/>
                <w:kern w:val="0"/>
                <w:sz w:val="32"/>
                <w:szCs w:val="32"/>
              </w:rPr>
              <w:t>内蒙古自治区特种设备检验研究院通辽分院</w:t>
            </w:r>
          </w:p>
        </w:tc>
        <w:tc>
          <w:tcPr>
            <w:tcW w:w="4602" w:type="dxa"/>
            <w:vAlign w:val="center"/>
          </w:tcPr>
          <w:p w14:paraId="1A5B51E0">
            <w:pPr>
              <w:spacing w:before="51" w:line="212" w:lineRule="auto"/>
              <w:ind w:left="117"/>
              <w:jc w:val="center"/>
              <w:rPr>
                <w:rFonts w:ascii="仿宋" w:hAnsi="仿宋" w:eastAsia="仿宋" w:cs="仿宋"/>
                <w:spacing w:val="8"/>
                <w:kern w:val="0"/>
                <w:sz w:val="32"/>
                <w:szCs w:val="32"/>
              </w:rPr>
            </w:pPr>
            <w:r>
              <w:rPr>
                <w:rFonts w:ascii="仿宋" w:hAnsi="仿宋" w:eastAsia="仿宋" w:cs="仿宋"/>
                <w:spacing w:val="8"/>
                <w:kern w:val="0"/>
                <w:sz w:val="32"/>
                <w:szCs w:val="32"/>
              </w:rPr>
              <w:t>公益</w:t>
            </w:r>
            <w:r>
              <w:rPr>
                <w:rFonts w:hint="eastAsia" w:ascii="仿宋" w:hAnsi="仿宋" w:eastAsia="仿宋" w:cs="仿宋"/>
                <w:spacing w:val="8"/>
                <w:kern w:val="0"/>
                <w:sz w:val="32"/>
                <w:szCs w:val="32"/>
              </w:rPr>
              <w:t>二</w:t>
            </w:r>
            <w:r>
              <w:rPr>
                <w:rFonts w:ascii="仿宋" w:hAnsi="仿宋" w:eastAsia="仿宋" w:cs="仿宋"/>
                <w:spacing w:val="8"/>
                <w:kern w:val="0"/>
                <w:sz w:val="32"/>
                <w:szCs w:val="32"/>
              </w:rPr>
              <w:t>类事业单位</w:t>
            </w:r>
          </w:p>
        </w:tc>
      </w:tr>
      <w:bookmarkEnd w:id="9"/>
    </w:tbl>
    <w:p w14:paraId="0859DD58">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三、2026年度单位主要工作任务及目标</w:t>
      </w:r>
    </w:p>
    <w:p w14:paraId="492622FB">
      <w:pPr>
        <w:spacing w:line="600" w:lineRule="exact"/>
        <w:ind w:firstLine="640" w:firstLineChars="200"/>
        <w:rPr>
          <w:rFonts w:ascii="Times New Roman" w:hAnsi="Times New Roman" w:eastAsia="仿宋_GB2312"/>
          <w:sz w:val="11"/>
          <w:szCs w:val="11"/>
        </w:rPr>
      </w:pPr>
      <w:bookmarkStart w:id="10" w:name="PO_part1A2B3Responsibilities1"/>
      <w:r>
        <w:rPr>
          <w:rFonts w:hint="eastAsia" w:ascii="Times New Roman" w:hAnsi="Times New Roman" w:eastAsia="仿宋_GB2312"/>
          <w:sz w:val="32"/>
          <w:szCs w:val="32"/>
        </w:rPr>
        <w:t>积极开展锅炉压力容器与特种设备委托检验工作，有效提高特种设备使用单位安全生产意识、保障锅炉压力容器与特种设备业务相关房屋、车辆、设备正常运行，积极开展特种设备检验。</w:t>
      </w:r>
    </w:p>
    <w:bookmarkEnd w:id="10"/>
    <w:p w14:paraId="3638C613">
      <w:pPr>
        <w:spacing w:line="600" w:lineRule="exact"/>
        <w:jc w:val="center"/>
        <w:outlineLvl w:val="1"/>
        <w:rPr>
          <w:rFonts w:ascii="方正小标宋简体" w:hAnsi="方正小标宋简体" w:eastAsia="方正小标宋简体" w:cs="方正小标宋简体"/>
          <w:sz w:val="36"/>
          <w:szCs w:val="36"/>
        </w:rPr>
      </w:pPr>
    </w:p>
    <w:p w14:paraId="63F46656">
      <w:pPr>
        <w:spacing w:line="600" w:lineRule="exact"/>
        <w:jc w:val="center"/>
        <w:outlineLvl w:val="1"/>
        <w:rPr>
          <w:rFonts w:ascii="方正小标宋简体" w:hAnsi="方正小标宋简体" w:eastAsia="方正小标宋简体" w:cs="方正小标宋简体"/>
          <w:sz w:val="36"/>
          <w:szCs w:val="36"/>
        </w:rPr>
      </w:pPr>
      <w:r>
        <w:rPr>
          <w:rFonts w:hint="eastAsia" w:ascii="黑体" w:hAnsi="黑体" w:eastAsia="黑体" w:cs="黑体"/>
          <w:sz w:val="36"/>
          <w:szCs w:val="36"/>
        </w:rPr>
        <w:t>第二部分  2026年度部门预算情况说明</w:t>
      </w:r>
    </w:p>
    <w:p w14:paraId="1985ED21">
      <w:pPr>
        <w:pStyle w:val="5"/>
        <w:spacing w:line="327" w:lineRule="auto"/>
        <w:rPr>
          <w:lang w:eastAsia="zh-CN"/>
        </w:rPr>
      </w:pPr>
    </w:p>
    <w:p w14:paraId="795E6E9B">
      <w:pPr>
        <w:spacing w:line="600" w:lineRule="exact"/>
        <w:ind w:firstLine="640" w:firstLineChars="200"/>
        <w:outlineLvl w:val="2"/>
      </w:pPr>
      <w:r>
        <w:rPr>
          <w:rFonts w:hint="eastAsia" w:eastAsia="黑体" w:cs="黑体"/>
          <w:sz w:val="32"/>
          <w:szCs w:val="36"/>
        </w:rPr>
        <w:t>一、收支预算总体情况说明</w:t>
      </w:r>
    </w:p>
    <w:p w14:paraId="0020E4A1">
      <w:pPr>
        <w:spacing w:before="227" w:line="357" w:lineRule="auto"/>
        <w:ind w:left="11" w:firstLine="634"/>
        <w:rPr>
          <w:rFonts w:ascii="仿宋" w:hAnsi="仿宋" w:eastAsia="仿宋" w:cs="仿宋"/>
          <w:sz w:val="31"/>
          <w:szCs w:val="31"/>
        </w:rPr>
      </w:pPr>
      <w:bookmarkStart w:id="11" w:name="PO_part2AAmount"/>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11"/>
      <w:r>
        <w:rPr>
          <w:rFonts w:hint="eastAsia" w:ascii="Times New Roman" w:hAnsi="Times New Roman" w:eastAsia="仿宋_GB2312"/>
          <w:sz w:val="32"/>
          <w:szCs w:val="32"/>
        </w:rPr>
        <w:t>2026年度收入、支出预算总计4087.9万元，与上年相比收、支预算总计各</w:t>
      </w:r>
      <w:bookmarkStart w:id="12" w:name="PO_part2AIncReason1"/>
      <w:r>
        <w:rPr>
          <w:rFonts w:hint="eastAsia" w:ascii="Times New Roman" w:hAnsi="Times New Roman" w:eastAsia="仿宋_GB2312"/>
          <w:sz w:val="32"/>
          <w:szCs w:val="32"/>
        </w:rPr>
        <w:t>增加320.74万元，增长8.51%</w:t>
      </w:r>
      <w:r>
        <w:rPr>
          <w:rFonts w:hint="eastAsia" w:ascii="Times New Roman" w:hAnsi="Times New Roman" w:eastAsia="仿宋_GB2312"/>
          <w:sz w:val="18"/>
          <w:szCs w:val="18"/>
        </w:rPr>
        <w:t xml:space="preserve"> </w:t>
      </w:r>
      <w:bookmarkEnd w:id="12"/>
      <w:r>
        <w:rPr>
          <w:rFonts w:hint="eastAsia" w:ascii="Times New Roman" w:hAnsi="Times New Roman" w:eastAsia="仿宋_GB2312"/>
          <w:sz w:val="32"/>
          <w:szCs w:val="32"/>
        </w:rPr>
        <w:t>。其中：</w:t>
      </w:r>
    </w:p>
    <w:p w14:paraId="4F648374">
      <w:pPr>
        <w:spacing w:line="600" w:lineRule="exact"/>
        <w:ind w:firstLine="643" w:firstLineChars="200"/>
        <w:outlineLvl w:val="2"/>
        <w:rPr>
          <w:rFonts w:ascii="楷体" w:hAnsi="楷体" w:eastAsia="楷体" w:cs="楷体"/>
          <w:b/>
          <w:bCs/>
          <w:sz w:val="32"/>
          <w:szCs w:val="36"/>
        </w:rPr>
      </w:pPr>
      <w:r>
        <w:rPr>
          <w:rFonts w:hint="eastAsia" w:ascii="楷体" w:hAnsi="楷体" w:eastAsia="楷体" w:cs="楷体"/>
          <w:b/>
          <w:bCs/>
          <w:sz w:val="32"/>
          <w:szCs w:val="36"/>
        </w:rPr>
        <w:t>（一）收入预算总计</w:t>
      </w:r>
      <w:bookmarkStart w:id="13" w:name="PO_part2ABAmount1"/>
      <w:r>
        <w:rPr>
          <w:rFonts w:hint="eastAsia" w:ascii="Times New Roman" w:hAnsi="Times New Roman" w:eastAsia="仿宋_GB2312"/>
          <w:b/>
          <w:bCs/>
          <w:sz w:val="32"/>
          <w:szCs w:val="32"/>
        </w:rPr>
        <w:t>4087.9</w:t>
      </w:r>
      <w:r>
        <w:rPr>
          <w:rFonts w:hint="eastAsia" w:ascii="楷体" w:hAnsi="楷体" w:eastAsia="楷体" w:cs="楷体"/>
          <w:b/>
          <w:bCs/>
          <w:sz w:val="11"/>
          <w:szCs w:val="13"/>
        </w:rPr>
        <w:t xml:space="preserve"> </w:t>
      </w:r>
      <w:bookmarkEnd w:id="13"/>
      <w:r>
        <w:rPr>
          <w:rFonts w:hint="eastAsia" w:ascii="楷体" w:hAnsi="楷体" w:eastAsia="楷体" w:cs="楷体"/>
          <w:b/>
          <w:bCs/>
          <w:sz w:val="32"/>
          <w:szCs w:val="36"/>
        </w:rPr>
        <w:t>万元。包括：</w:t>
      </w:r>
    </w:p>
    <w:p w14:paraId="4A45249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bookmarkStart w:id="14" w:name="PO_part2ABAmount2"/>
      <w:r>
        <w:rPr>
          <w:rFonts w:hint="eastAsia" w:ascii="Times New Roman" w:hAnsi="Times New Roman" w:eastAsia="仿宋_GB2312"/>
          <w:sz w:val="32"/>
          <w:szCs w:val="32"/>
        </w:rPr>
        <w:t>3270.20</w:t>
      </w:r>
      <w:r>
        <w:rPr>
          <w:rFonts w:hint="eastAsia" w:ascii="Times New Roman" w:hAnsi="Times New Roman" w:eastAsia="仿宋_GB2312"/>
          <w:sz w:val="11"/>
          <w:szCs w:val="11"/>
        </w:rPr>
        <w:t xml:space="preserve"> </w:t>
      </w:r>
      <w:bookmarkEnd w:id="14"/>
      <w:r>
        <w:rPr>
          <w:rFonts w:hint="eastAsia" w:ascii="Times New Roman" w:hAnsi="Times New Roman" w:eastAsia="仿宋_GB2312"/>
          <w:sz w:val="32"/>
          <w:szCs w:val="32"/>
        </w:rPr>
        <w:t>万元。</w:t>
      </w:r>
    </w:p>
    <w:p w14:paraId="6A77F8D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bookmarkStart w:id="15" w:name="PO_part2ABAmount3"/>
      <w:r>
        <w:rPr>
          <w:rFonts w:hint="eastAsia" w:ascii="Times New Roman" w:hAnsi="Times New Roman" w:eastAsia="仿宋_GB2312"/>
          <w:sz w:val="32"/>
          <w:szCs w:val="32"/>
        </w:rPr>
        <w:t>2095.2</w:t>
      </w:r>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万元，与上年相比</w:t>
      </w:r>
      <w:bookmarkStart w:id="16" w:name="PO_part2ABAmount4"/>
      <w:r>
        <w:rPr>
          <w:rFonts w:hint="eastAsia" w:ascii="Times New Roman" w:hAnsi="Times New Roman" w:eastAsia="仿宋_GB2312"/>
          <w:sz w:val="32"/>
          <w:szCs w:val="32"/>
        </w:rPr>
        <w:t>增加3.0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万元，增加0.15%</w:t>
      </w:r>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，主要原因是：</w:t>
      </w:r>
      <w:bookmarkStart w:id="17" w:name="PO_part2ABReason1"/>
      <w:r>
        <w:rPr>
          <w:rFonts w:hint="eastAsia" w:ascii="Times New Roman" w:hAnsi="Times New Roman" w:eastAsia="仿宋_GB2312"/>
          <w:sz w:val="32"/>
          <w:szCs w:val="32"/>
        </w:rPr>
        <w:t>检验检测能力提升</w:t>
      </w:r>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w:t>
      </w:r>
    </w:p>
    <w:p w14:paraId="34E715F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bookmarkStart w:id="18" w:name="PO_part2ABAmount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万元，与上年相比</w:t>
      </w:r>
      <w:bookmarkStart w:id="19" w:name="PO_part2ABAmount6"/>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，主要原因是：</w:t>
      </w:r>
      <w:bookmarkStart w:id="20" w:name="PO_part2AB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w:t>
      </w:r>
    </w:p>
    <w:p w14:paraId="3617F99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21" w:name="PO_part2AB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万元，与上年相比</w:t>
      </w:r>
      <w:bookmarkStart w:id="22" w:name="PO_part2ABAmount8"/>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，主要原因是：</w:t>
      </w:r>
      <w:bookmarkStart w:id="23" w:name="PO_part2AB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w:t>
      </w:r>
    </w:p>
    <w:p w14:paraId="1ABE84F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bookmarkStart w:id="24" w:name="PO_part2AB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万元，与上年相比</w:t>
      </w:r>
      <w:bookmarkStart w:id="25" w:name="PO_part2ABAmount10"/>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，主要原因是：</w:t>
      </w:r>
      <w:bookmarkStart w:id="26" w:name="PO_part2AB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w:t>
      </w:r>
    </w:p>
    <w:p w14:paraId="1248015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7" w:name="PO_part2AB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万元，与上年相比</w:t>
      </w:r>
      <w:bookmarkStart w:id="28" w:name="PO_part2ABAmount12"/>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，主要原因是：</w:t>
      </w:r>
      <w:bookmarkStart w:id="29" w:name="PO_part2AB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w:t>
      </w:r>
    </w:p>
    <w:p w14:paraId="60E23EC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30" w:name="PO_part2ABAmount24"/>
      <w:r>
        <w:rPr>
          <w:rFonts w:hint="eastAsia" w:ascii="Times New Roman" w:hAnsi="Times New Roman" w:eastAsia="仿宋_GB2312"/>
          <w:sz w:val="32"/>
          <w:szCs w:val="32"/>
        </w:rPr>
        <w:t>1175</w:t>
      </w:r>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万元，</w:t>
      </w:r>
      <w:bookmarkStart w:id="31" w:name="PO_part2ABAmount25"/>
      <w:r>
        <w:rPr>
          <w:rFonts w:hint="eastAsia" w:ascii="Times New Roman" w:hAnsi="Times New Roman" w:eastAsia="仿宋_GB2312"/>
          <w:sz w:val="32"/>
          <w:szCs w:val="32"/>
        </w:rPr>
        <w:t>与上年相比无增减变动</w:t>
      </w:r>
      <w:r>
        <w:rPr>
          <w:rFonts w:hint="eastAsia" w:ascii="Times New Roman" w:hAnsi="Times New Roman" w:eastAsia="仿宋_GB2312"/>
          <w:sz w:val="11"/>
          <w:szCs w:val="11"/>
        </w:rPr>
        <w:t xml:space="preserve"> </w:t>
      </w:r>
      <w:bookmarkEnd w:id="31"/>
      <w:bookmarkStart w:id="32" w:name="PO_part2ABReason12"/>
      <w:r>
        <w:rPr>
          <w:rFonts w:hint="eastAsia" w:ascii="Times New Roman" w:hAnsi="Times New Roman" w:eastAsia="仿宋_GB2312"/>
          <w:sz w:val="32"/>
          <w:szCs w:val="32"/>
        </w:rPr>
        <w:t>，主要原因是：</w:t>
      </w:r>
      <w:bookmarkEnd w:id="32"/>
      <w:r>
        <w:rPr>
          <w:rFonts w:hint="eastAsia" w:ascii="Times New Roman" w:hAnsi="Times New Roman" w:eastAsia="仿宋_GB2312"/>
          <w:sz w:val="32"/>
          <w:szCs w:val="32"/>
        </w:rPr>
        <w:t>经营检验业务市场环境与服务对象无显著变化，经营条件与资源配置稳定。</w:t>
      </w:r>
    </w:p>
    <w:p w14:paraId="154B862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bookmarkStart w:id="33" w:name="PO_part2AB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万元，与上年相比</w:t>
      </w:r>
      <w:bookmarkStart w:id="34" w:name="PO_part2ABAmount14"/>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，主要原因是：</w:t>
      </w:r>
      <w:bookmarkStart w:id="35" w:name="PO_part2ABReason6"/>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w:t>
      </w:r>
    </w:p>
    <w:p w14:paraId="33B89D3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bookmarkStart w:id="36" w:name="PO_part2ABAmount1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万元，与上年相比</w:t>
      </w:r>
      <w:bookmarkStart w:id="37" w:name="PO_part2ABAmount16"/>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，主要原因是：</w:t>
      </w:r>
      <w:bookmarkStart w:id="38" w:name="PO_part2ABReason7"/>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w:t>
      </w:r>
    </w:p>
    <w:p w14:paraId="75873F8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39" w:name="PO_part2AB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万元，与上年相比</w:t>
      </w:r>
      <w:bookmarkStart w:id="40" w:name="PO_part2ABAmount18"/>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，主要原因是：</w:t>
      </w:r>
      <w:bookmarkStart w:id="41" w:name="PO_part2ABReason8"/>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w:t>
      </w:r>
    </w:p>
    <w:p w14:paraId="3A9D62E5">
      <w:pPr>
        <w:spacing w:line="600" w:lineRule="exact"/>
        <w:ind w:firstLine="640" w:firstLineChars="200"/>
        <w:rPr>
          <w:rFonts w:ascii="仿宋" w:hAnsi="仿宋" w:eastAsia="仿宋" w:cs="仿宋"/>
          <w:sz w:val="31"/>
          <w:szCs w:val="31"/>
        </w:rPr>
      </w:pPr>
      <w:r>
        <w:rPr>
          <w:rFonts w:hint="eastAsia" w:ascii="Times New Roman" w:hAnsi="Times New Roman" w:eastAsia="仿宋_GB2312"/>
          <w:sz w:val="32"/>
          <w:szCs w:val="32"/>
        </w:rPr>
        <w:t>2．上年结转结余</w:t>
      </w:r>
      <w:bookmarkStart w:id="42" w:name="PO_part2ABAmount19"/>
      <w:r>
        <w:rPr>
          <w:rFonts w:hint="eastAsia" w:ascii="Times New Roman" w:hAnsi="Times New Roman" w:eastAsia="仿宋_GB2312"/>
          <w:sz w:val="32"/>
          <w:szCs w:val="32"/>
        </w:rPr>
        <w:t>817.7</w:t>
      </w:r>
      <w:r>
        <w:rPr>
          <w:rFonts w:hint="eastAsia" w:ascii="Times New Roman" w:hAnsi="Times New Roman" w:eastAsia="仿宋_GB2312"/>
          <w:sz w:val="11"/>
          <w:szCs w:val="11"/>
        </w:rPr>
        <w:t xml:space="preserve"> </w:t>
      </w:r>
      <w:bookmarkEnd w:id="42"/>
      <w:r>
        <w:rPr>
          <w:rFonts w:hint="eastAsia" w:ascii="Times New Roman" w:hAnsi="Times New Roman" w:eastAsia="仿宋_GB2312"/>
          <w:sz w:val="32"/>
          <w:szCs w:val="32"/>
        </w:rPr>
        <w:t>万元。与上年相比</w:t>
      </w:r>
      <w:bookmarkStart w:id="43" w:name="PO_part2ABAmount20"/>
      <w:r>
        <w:rPr>
          <w:rFonts w:hint="eastAsia" w:ascii="Times New Roman" w:hAnsi="Times New Roman" w:eastAsia="仿宋_GB2312"/>
          <w:sz w:val="32"/>
          <w:szCs w:val="32"/>
        </w:rPr>
        <w:t>增加317.7万元，</w:t>
      </w:r>
      <w:bookmarkEnd w:id="43"/>
      <w:r>
        <w:rPr>
          <w:rFonts w:hint="eastAsia" w:ascii="Times New Roman" w:hAnsi="Times New Roman" w:eastAsia="仿宋_GB2312"/>
          <w:sz w:val="32"/>
          <w:szCs w:val="32"/>
        </w:rPr>
        <w:t>主要原因是：</w:t>
      </w:r>
      <w:bookmarkStart w:id="44" w:name="PO_part2ABReason9"/>
      <w:r>
        <w:rPr>
          <w:rFonts w:hint="eastAsia" w:ascii="Times New Roman" w:hAnsi="Times New Roman" w:eastAsia="仿宋_GB2312"/>
          <w:sz w:val="32"/>
          <w:szCs w:val="32"/>
        </w:rPr>
        <w:t>本年度使用以前年度结转结余弥补特种设备安全监管经费项目支出的不足</w:t>
      </w:r>
      <w:r>
        <w:rPr>
          <w:rFonts w:hint="eastAsia" w:ascii="Times New Roman" w:hAnsi="Times New Roman" w:eastAsia="仿宋_GB2312"/>
          <w:sz w:val="11"/>
          <w:szCs w:val="11"/>
        </w:rPr>
        <w:t xml:space="preserve"> </w:t>
      </w:r>
      <w:bookmarkEnd w:id="44"/>
      <w:r>
        <w:rPr>
          <w:rFonts w:hint="eastAsia" w:ascii="Times New Roman" w:hAnsi="Times New Roman" w:eastAsia="仿宋_GB2312"/>
          <w:sz w:val="32"/>
          <w:szCs w:val="32"/>
        </w:rPr>
        <w:t>，该资金用于基建项目</w:t>
      </w:r>
      <w:r>
        <w:rPr>
          <w:rFonts w:ascii="仿宋" w:hAnsi="仿宋" w:eastAsia="仿宋" w:cs="仿宋"/>
          <w:spacing w:val="1"/>
          <w:sz w:val="31"/>
          <w:szCs w:val="31"/>
        </w:rPr>
        <w:t>。</w:t>
      </w:r>
    </w:p>
    <w:p w14:paraId="421292A6">
      <w:pPr>
        <w:spacing w:line="600" w:lineRule="exact"/>
        <w:ind w:firstLine="643" w:firstLineChars="200"/>
        <w:outlineLvl w:val="2"/>
        <w:rPr>
          <w:rFonts w:ascii="楷体" w:hAnsi="楷体" w:eastAsia="楷体" w:cs="楷体"/>
          <w:b/>
          <w:bCs/>
          <w:sz w:val="32"/>
          <w:szCs w:val="36"/>
        </w:rPr>
      </w:pPr>
      <w:r>
        <w:rPr>
          <w:rFonts w:hint="eastAsia" w:ascii="楷体" w:hAnsi="楷体" w:eastAsia="楷体" w:cs="楷体"/>
          <w:b/>
          <w:bCs/>
          <w:sz w:val="32"/>
          <w:szCs w:val="36"/>
        </w:rPr>
        <w:t>（二）支出预算总计</w:t>
      </w:r>
      <w:bookmarkStart w:id="45" w:name="PO_part2ABAmount21"/>
      <w:r>
        <w:rPr>
          <w:rFonts w:hint="eastAsia" w:ascii="Times New Roman" w:hAnsi="Times New Roman" w:eastAsia="仿宋_GB2312"/>
          <w:b/>
          <w:bCs/>
          <w:sz w:val="32"/>
          <w:szCs w:val="32"/>
        </w:rPr>
        <w:t>4087.9</w:t>
      </w:r>
      <w:r>
        <w:rPr>
          <w:rFonts w:hint="eastAsia" w:ascii="楷体" w:hAnsi="楷体" w:eastAsia="楷体" w:cs="楷体"/>
          <w:b/>
          <w:bCs/>
          <w:sz w:val="11"/>
          <w:szCs w:val="13"/>
        </w:rPr>
        <w:t xml:space="preserve"> </w:t>
      </w:r>
      <w:bookmarkEnd w:id="45"/>
      <w:r>
        <w:rPr>
          <w:rFonts w:hint="eastAsia" w:ascii="楷体" w:hAnsi="楷体" w:eastAsia="楷体" w:cs="楷体"/>
          <w:b/>
          <w:bCs/>
          <w:sz w:val="32"/>
          <w:szCs w:val="36"/>
        </w:rPr>
        <w:t>万元。包括：</w:t>
      </w:r>
    </w:p>
    <w:p w14:paraId="16308EA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1．本年支出合计4087.9万元。</w:t>
      </w:r>
    </w:p>
    <w:p w14:paraId="170A5E12">
      <w:pPr>
        <w:spacing w:line="600" w:lineRule="exact"/>
        <w:ind w:firstLine="640" w:firstLineChars="200"/>
        <w:rPr>
          <w:rFonts w:ascii="Times New Roman" w:hAnsi="Times New Roman" w:eastAsia="仿宋_GB2312"/>
          <w:sz w:val="32"/>
          <w:szCs w:val="32"/>
        </w:rPr>
      </w:pPr>
      <w:bookmarkStart w:id="46" w:name="PO_part2ABReason10"/>
      <w:r>
        <w:rPr>
          <w:rFonts w:hint="eastAsia" w:ascii="Times New Roman" w:hAnsi="Times New Roman" w:eastAsia="仿宋_GB2312"/>
          <w:sz w:val="32"/>
          <w:szCs w:val="32"/>
        </w:rPr>
        <w:t>（1）一般公共服务（类）支出3682.83万元，主要用于：检验检测能力提升；与上年相比增加290.07万元，增长8.55%，主要原因是：因职工晋级、工龄等原因导致定向补助项目中的基本工资、津贴补贴等部门经济分类较上年增加。</w:t>
      </w:r>
      <w:r>
        <w:rPr>
          <w:rFonts w:hint="eastAsia" w:ascii="Times New Roman" w:hAnsi="Times New Roman" w:eastAsia="仿宋_GB2312"/>
          <w:sz w:val="32"/>
          <w:szCs w:val="32"/>
        </w:rPr>
        <w:cr/>
      </w:r>
      <w:r>
        <w:rPr>
          <w:rFonts w:hint="eastAsia" w:ascii="Times New Roman" w:hAnsi="Times New Roman" w:eastAsia="仿宋_GB2312"/>
          <w:sz w:val="32"/>
          <w:szCs w:val="32"/>
        </w:rPr>
        <w:t>（2）社会保障和就业（类）支出227.55万元，主要用于：事业单位离退休经费、机关事业单位基本养老保险、机关事业单位职业年金缴费等；与上年相比增加9.87万元，增长4.53%，主要原因是：因职工晋级、工龄等原因导致工资增加，使基本养老保险和职业年金缴费核定基数增加，且我单位新增退休人员，使退休人员生活补助增加。</w:t>
      </w:r>
      <w:r>
        <w:rPr>
          <w:rFonts w:hint="eastAsia" w:ascii="Times New Roman" w:hAnsi="Times New Roman" w:eastAsia="仿宋_GB2312"/>
          <w:sz w:val="32"/>
          <w:szCs w:val="32"/>
        </w:rPr>
        <w:cr/>
      </w:r>
      <w:r>
        <w:rPr>
          <w:rFonts w:hint="eastAsia" w:ascii="Times New Roman" w:hAnsi="Times New Roman" w:eastAsia="仿宋_GB2312"/>
          <w:sz w:val="32"/>
          <w:szCs w:val="32"/>
        </w:rPr>
        <w:t>（3）卫生健康（类）支出49.8万元，主要用于：在职人员医疗保险；与上年相比增加2.29万元，增长4.82%，主要原因是：因职工晋级、工龄等原因导致工资增加，使医疗保险核定基数增加。</w:t>
      </w:r>
      <w:r>
        <w:rPr>
          <w:rFonts w:hint="eastAsia" w:ascii="Times New Roman" w:hAnsi="Times New Roman" w:eastAsia="仿宋_GB2312"/>
          <w:sz w:val="32"/>
          <w:szCs w:val="32"/>
        </w:rPr>
        <w:cr/>
      </w:r>
      <w:r>
        <w:rPr>
          <w:rFonts w:hint="eastAsia" w:ascii="Times New Roman" w:hAnsi="Times New Roman" w:eastAsia="仿宋_GB2312"/>
          <w:sz w:val="32"/>
          <w:szCs w:val="32"/>
        </w:rPr>
        <w:t>（4）住房保障（类）支出127.72万元，主要用于：在职人员住房公积金；与上年相比增加18.51万元，增长16.95%，主要原因是：因职工晋级、工龄等原因导致工资增加，使住房公积金核定基数增加，且本年度公积金核定周期也发生变化。</w:t>
      </w:r>
      <w:r>
        <w:rPr>
          <w:rFonts w:hint="eastAsia" w:ascii="Times New Roman" w:hAnsi="Times New Roman" w:eastAsia="仿宋_GB2312"/>
          <w:sz w:val="32"/>
          <w:szCs w:val="32"/>
        </w:rPr>
        <w:cr/>
      </w:r>
      <w:r>
        <w:rPr>
          <w:rFonts w:hint="eastAsia" w:ascii="Times New Roman" w:hAnsi="Times New Roman" w:eastAsia="仿宋_GB2312"/>
          <w:sz w:val="11"/>
          <w:szCs w:val="11"/>
        </w:rPr>
        <w:t xml:space="preserve"> </w:t>
      </w:r>
      <w:bookmarkEnd w:id="46"/>
    </w:p>
    <w:p w14:paraId="51CC0A6D">
      <w:pPr>
        <w:spacing w:line="600" w:lineRule="exact"/>
        <w:ind w:firstLine="640" w:firstLineChars="200"/>
        <w:rPr>
          <w:rFonts w:ascii="仿宋" w:hAnsi="仿宋" w:eastAsia="仿宋" w:cs="仿宋"/>
          <w:sz w:val="11"/>
          <w:szCs w:val="11"/>
        </w:rPr>
      </w:pPr>
      <w:r>
        <w:rPr>
          <w:rFonts w:hint="eastAsia" w:ascii="Times New Roman" w:hAnsi="Times New Roman" w:eastAsia="仿宋_GB2312"/>
          <w:sz w:val="32"/>
          <w:szCs w:val="32"/>
        </w:rPr>
        <w:t>2．年终结转结余</w:t>
      </w:r>
      <w:bookmarkStart w:id="47" w:name="PO_part2AB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47"/>
      <w:r>
        <w:rPr>
          <w:rFonts w:hint="eastAsia" w:ascii="Times New Roman" w:hAnsi="Times New Roman" w:eastAsia="仿宋_GB2312"/>
          <w:sz w:val="32"/>
          <w:szCs w:val="32"/>
        </w:rPr>
        <w:t>万元，与上年相比</w:t>
      </w:r>
      <w:bookmarkStart w:id="48" w:name="PO_part2ABAmount26"/>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48"/>
      <w:r>
        <w:rPr>
          <w:rFonts w:hint="eastAsia" w:ascii="Times New Roman" w:hAnsi="Times New Roman" w:eastAsia="仿宋_GB2312"/>
          <w:sz w:val="32"/>
          <w:szCs w:val="32"/>
        </w:rPr>
        <w:t>，主要原因是：</w:t>
      </w:r>
      <w:bookmarkStart w:id="49" w:name="PO_part2ABReason11"/>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rPr>
        <w:t>。</w:t>
      </w:r>
    </w:p>
    <w:p w14:paraId="71E95CAA">
      <w:pPr>
        <w:spacing w:before="156" w:beforeLines="50" w:after="156" w:afterLines="50" w:line="600" w:lineRule="exact"/>
        <w:ind w:firstLine="640" w:firstLineChars="200"/>
        <w:outlineLvl w:val="2"/>
        <w:rPr>
          <w:rFonts w:ascii="黑体" w:hAnsi="黑体" w:eastAsia="黑体" w:cs="黑体"/>
          <w:sz w:val="31"/>
          <w:szCs w:val="31"/>
        </w:rPr>
      </w:pPr>
      <w:r>
        <w:rPr>
          <w:rFonts w:hint="eastAsia" w:eastAsia="黑体" w:cs="黑体"/>
          <w:sz w:val="32"/>
          <w:szCs w:val="36"/>
        </w:rPr>
        <w:t>二、收入预算情况说明</w:t>
      </w:r>
    </w:p>
    <w:p w14:paraId="0E16E4C9">
      <w:pPr>
        <w:spacing w:line="600" w:lineRule="exact"/>
        <w:ind w:firstLine="640" w:firstLineChars="200"/>
        <w:rPr>
          <w:rFonts w:ascii="Times New Roman" w:hAnsi="Times New Roman" w:eastAsia="仿宋_GB2312"/>
          <w:sz w:val="32"/>
          <w:szCs w:val="32"/>
        </w:rPr>
      </w:pPr>
      <w:bookmarkStart w:id="50" w:name="PO_part2A1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50"/>
      <w:r>
        <w:rPr>
          <w:rFonts w:hint="eastAsia" w:ascii="Times New Roman" w:hAnsi="Times New Roman" w:eastAsia="仿宋_GB2312"/>
          <w:sz w:val="32"/>
          <w:szCs w:val="32"/>
        </w:rPr>
        <w:t>2026年度收入预算总计</w:t>
      </w:r>
      <w:bookmarkStart w:id="51" w:name="PO_part2A1Amount2"/>
      <w:r>
        <w:rPr>
          <w:rFonts w:hint="eastAsia" w:ascii="Times New Roman" w:hAnsi="Times New Roman" w:eastAsia="仿宋_GB2312"/>
          <w:sz w:val="32"/>
          <w:szCs w:val="32"/>
        </w:rPr>
        <w:t>4087.9</w:t>
      </w:r>
      <w:r>
        <w:rPr>
          <w:rFonts w:hint="eastAsia" w:ascii="Times New Roman" w:hAnsi="Times New Roman" w:eastAsia="仿宋_GB2312"/>
          <w:sz w:val="11"/>
          <w:szCs w:val="11"/>
        </w:rPr>
        <w:t xml:space="preserve"> </w:t>
      </w:r>
      <w:bookmarkEnd w:id="51"/>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bookmarkStart w:id="52" w:name="PO_part2A1Amount3"/>
      <w:r>
        <w:rPr>
          <w:rFonts w:hint="eastAsia" w:ascii="Times New Roman" w:hAnsi="Times New Roman" w:eastAsia="仿宋_GB2312"/>
          <w:sz w:val="32"/>
          <w:szCs w:val="32"/>
        </w:rPr>
        <w:t>3270.2</w:t>
      </w:r>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万元，上年结转结余817.7万元。其中：</w:t>
      </w:r>
    </w:p>
    <w:p w14:paraId="45468CC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3" w:name="PO_part2A1Amount5"/>
      <w:r>
        <w:rPr>
          <w:rFonts w:hint="eastAsia" w:ascii="Times New Roman" w:hAnsi="Times New Roman" w:eastAsia="仿宋_GB2312"/>
          <w:sz w:val="32"/>
          <w:szCs w:val="32"/>
        </w:rPr>
        <w:t>2095.2</w:t>
      </w:r>
      <w:r>
        <w:rPr>
          <w:rFonts w:hint="eastAsia" w:ascii="Times New Roman" w:hAnsi="Times New Roman" w:eastAsia="仿宋_GB2312"/>
          <w:sz w:val="11"/>
          <w:szCs w:val="11"/>
        </w:rPr>
        <w:t xml:space="preserve"> </w:t>
      </w:r>
      <w:bookmarkEnd w:id="53"/>
      <w:r>
        <w:rPr>
          <w:rFonts w:hint="eastAsia" w:ascii="Times New Roman" w:hAnsi="Times New Roman" w:eastAsia="仿宋_GB2312"/>
          <w:sz w:val="32"/>
          <w:szCs w:val="32"/>
        </w:rPr>
        <w:t>万元，占</w:t>
      </w:r>
      <w:bookmarkStart w:id="54" w:name="PO_part2A1Amount6"/>
      <w:r>
        <w:rPr>
          <w:rFonts w:hint="eastAsia" w:ascii="Times New Roman" w:hAnsi="Times New Roman" w:eastAsia="仿宋_GB2312"/>
          <w:sz w:val="32"/>
          <w:szCs w:val="32"/>
        </w:rPr>
        <w:t>51.25</w:t>
      </w:r>
      <w:r>
        <w:rPr>
          <w:rFonts w:hint="eastAsia" w:ascii="Times New Roman" w:hAnsi="Times New Roman" w:eastAsia="仿宋_GB2312"/>
          <w:sz w:val="22"/>
          <w:szCs w:val="22"/>
        </w:rPr>
        <w:t xml:space="preserve"> </w:t>
      </w:r>
      <w:bookmarkEnd w:id="54"/>
      <w:r>
        <w:rPr>
          <w:rFonts w:hint="eastAsia" w:ascii="Times New Roman" w:hAnsi="Times New Roman" w:eastAsia="仿宋_GB2312"/>
          <w:sz w:val="32"/>
          <w:szCs w:val="32"/>
        </w:rPr>
        <w:t>%；</w:t>
      </w:r>
    </w:p>
    <w:p w14:paraId="748E73A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5" w:name="PO_part2A1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5"/>
      <w:r>
        <w:rPr>
          <w:rFonts w:hint="eastAsia" w:ascii="Times New Roman" w:hAnsi="Times New Roman" w:eastAsia="仿宋_GB2312"/>
          <w:sz w:val="32"/>
          <w:szCs w:val="32"/>
        </w:rPr>
        <w:t>万元，占</w:t>
      </w:r>
      <w:bookmarkStart w:id="56" w:name="PO_part2A1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w:t>
      </w:r>
    </w:p>
    <w:p w14:paraId="48F1DBC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57" w:name="PO_part2A1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7"/>
      <w:r>
        <w:rPr>
          <w:rFonts w:hint="eastAsia" w:ascii="Times New Roman" w:hAnsi="Times New Roman" w:eastAsia="仿宋_GB2312"/>
          <w:sz w:val="32"/>
          <w:szCs w:val="32"/>
        </w:rPr>
        <w:t>万元，占</w:t>
      </w:r>
      <w:bookmarkStart w:id="58" w:name="PO_part2A1Amount10"/>
      <w:r>
        <w:rPr>
          <w:rFonts w:hint="eastAsia" w:ascii="Times New Roman" w:hAnsi="Times New Roman" w:eastAsia="仿宋_GB2312"/>
          <w:sz w:val="32"/>
          <w:szCs w:val="32"/>
        </w:rPr>
        <w:t>0.00</w:t>
      </w:r>
      <w:r>
        <w:rPr>
          <w:rFonts w:hint="eastAsia" w:ascii="Times New Roman" w:hAnsi="Times New Roman" w:eastAsia="仿宋_GB2312"/>
          <w:sz w:val="24"/>
        </w:rPr>
        <w:t xml:space="preserve"> </w:t>
      </w:r>
      <w:bookmarkEnd w:id="58"/>
      <w:r>
        <w:rPr>
          <w:rFonts w:hint="eastAsia" w:ascii="Times New Roman" w:hAnsi="Times New Roman" w:eastAsia="仿宋_GB2312"/>
          <w:sz w:val="32"/>
          <w:szCs w:val="32"/>
        </w:rPr>
        <w:t>%；</w:t>
      </w:r>
    </w:p>
    <w:p w14:paraId="03923EC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59" w:name="PO_part2A1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9"/>
      <w:r>
        <w:rPr>
          <w:rFonts w:hint="eastAsia" w:ascii="Times New Roman" w:hAnsi="Times New Roman" w:eastAsia="仿宋_GB2312"/>
          <w:sz w:val="32"/>
          <w:szCs w:val="32"/>
        </w:rPr>
        <w:t>万元，占</w:t>
      </w:r>
      <w:bookmarkStart w:id="60" w:name="PO_part2A1Amount12"/>
      <w:r>
        <w:rPr>
          <w:rFonts w:hint="eastAsia" w:ascii="Times New Roman" w:hAnsi="Times New Roman" w:eastAsia="仿宋_GB2312"/>
          <w:sz w:val="32"/>
          <w:szCs w:val="32"/>
        </w:rPr>
        <w:t xml:space="preserve">0.00 </w:t>
      </w:r>
      <w:bookmarkEnd w:id="60"/>
      <w:r>
        <w:rPr>
          <w:rFonts w:hint="eastAsia" w:ascii="Times New Roman" w:hAnsi="Times New Roman" w:eastAsia="仿宋_GB2312"/>
          <w:sz w:val="32"/>
          <w:szCs w:val="32"/>
        </w:rPr>
        <w:t>%；</w:t>
      </w:r>
    </w:p>
    <w:p w14:paraId="1D3D052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bookmarkStart w:id="61" w:name="PO_part2A1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1"/>
      <w:r>
        <w:rPr>
          <w:rFonts w:hint="eastAsia" w:ascii="Times New Roman" w:hAnsi="Times New Roman" w:eastAsia="仿宋_GB2312"/>
          <w:sz w:val="32"/>
          <w:szCs w:val="32"/>
        </w:rPr>
        <w:t>万元，占</w:t>
      </w:r>
      <w:bookmarkStart w:id="62" w:name="PO_part2A1Amount14"/>
      <w:r>
        <w:rPr>
          <w:rFonts w:hint="eastAsia" w:ascii="Times New Roman" w:hAnsi="Times New Roman" w:eastAsia="仿宋_GB2312"/>
          <w:sz w:val="32"/>
          <w:szCs w:val="32"/>
        </w:rPr>
        <w:t xml:space="preserve">0.00 </w:t>
      </w:r>
      <w:bookmarkEnd w:id="62"/>
      <w:r>
        <w:rPr>
          <w:rFonts w:hint="eastAsia" w:ascii="Times New Roman" w:hAnsi="Times New Roman" w:eastAsia="仿宋_GB2312"/>
          <w:sz w:val="32"/>
          <w:szCs w:val="32"/>
        </w:rPr>
        <w:t>%；</w:t>
      </w:r>
    </w:p>
    <w:p w14:paraId="169F387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bookmarkStart w:id="63" w:name="PO_part2A1Amount15"/>
      <w:r>
        <w:rPr>
          <w:rFonts w:hint="eastAsia" w:ascii="Times New Roman" w:hAnsi="Times New Roman" w:eastAsia="仿宋_GB2312"/>
          <w:sz w:val="32"/>
          <w:szCs w:val="32"/>
        </w:rPr>
        <w:t>1175</w:t>
      </w:r>
      <w:r>
        <w:rPr>
          <w:rFonts w:hint="eastAsia" w:ascii="Times New Roman" w:hAnsi="Times New Roman" w:eastAsia="仿宋_GB2312"/>
          <w:sz w:val="11"/>
          <w:szCs w:val="11"/>
        </w:rPr>
        <w:t xml:space="preserve"> </w:t>
      </w:r>
      <w:bookmarkEnd w:id="63"/>
      <w:r>
        <w:rPr>
          <w:rFonts w:hint="eastAsia" w:ascii="Times New Roman" w:hAnsi="Times New Roman" w:eastAsia="仿宋_GB2312"/>
          <w:sz w:val="32"/>
          <w:szCs w:val="32"/>
        </w:rPr>
        <w:t>万元，占</w:t>
      </w:r>
      <w:bookmarkStart w:id="64" w:name="PO_part2A1Amount16"/>
      <w:r>
        <w:rPr>
          <w:rFonts w:hint="eastAsia" w:ascii="Times New Roman" w:hAnsi="Times New Roman" w:eastAsia="仿宋_GB2312"/>
          <w:sz w:val="32"/>
          <w:szCs w:val="32"/>
        </w:rPr>
        <w:t xml:space="preserve">28.74 </w:t>
      </w:r>
      <w:bookmarkEnd w:id="64"/>
      <w:r>
        <w:rPr>
          <w:rFonts w:hint="eastAsia" w:ascii="Times New Roman" w:hAnsi="Times New Roman" w:eastAsia="仿宋_GB2312"/>
          <w:sz w:val="32"/>
          <w:szCs w:val="32"/>
        </w:rPr>
        <w:t>%；</w:t>
      </w:r>
    </w:p>
    <w:p w14:paraId="500BD77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5" w:name="PO_part2A1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5"/>
      <w:r>
        <w:rPr>
          <w:rFonts w:hint="eastAsia" w:ascii="Times New Roman" w:hAnsi="Times New Roman" w:eastAsia="仿宋_GB2312"/>
          <w:sz w:val="32"/>
          <w:szCs w:val="32"/>
        </w:rPr>
        <w:t>万元，占</w:t>
      </w:r>
      <w:bookmarkStart w:id="66" w:name="PO_part2A1Amount18"/>
      <w:r>
        <w:rPr>
          <w:rFonts w:hint="eastAsia" w:ascii="Times New Roman" w:hAnsi="Times New Roman" w:eastAsia="仿宋_GB2312"/>
          <w:sz w:val="32"/>
          <w:szCs w:val="32"/>
        </w:rPr>
        <w:t xml:space="preserve">0.00 </w:t>
      </w:r>
      <w:bookmarkEnd w:id="66"/>
      <w:r>
        <w:rPr>
          <w:rFonts w:hint="eastAsia" w:ascii="Times New Roman" w:hAnsi="Times New Roman" w:eastAsia="仿宋_GB2312"/>
          <w:sz w:val="32"/>
          <w:szCs w:val="32"/>
        </w:rPr>
        <w:t>%；</w:t>
      </w:r>
    </w:p>
    <w:p w14:paraId="71F7EA2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bookmarkStart w:id="67" w:name="PO_part2A1Amount1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7"/>
      <w:r>
        <w:rPr>
          <w:rFonts w:hint="eastAsia" w:ascii="Times New Roman" w:hAnsi="Times New Roman" w:eastAsia="仿宋_GB2312"/>
          <w:sz w:val="32"/>
          <w:szCs w:val="32"/>
        </w:rPr>
        <w:t>万元，占</w:t>
      </w:r>
      <w:bookmarkStart w:id="68" w:name="PO_part2A1Amount20"/>
      <w:r>
        <w:rPr>
          <w:rFonts w:hint="eastAsia" w:ascii="Times New Roman" w:hAnsi="Times New Roman" w:eastAsia="仿宋_GB2312"/>
          <w:sz w:val="32"/>
          <w:szCs w:val="32"/>
        </w:rPr>
        <w:t xml:space="preserve">0.00 </w:t>
      </w:r>
      <w:bookmarkEnd w:id="68"/>
      <w:r>
        <w:rPr>
          <w:rFonts w:hint="eastAsia" w:ascii="Times New Roman" w:hAnsi="Times New Roman" w:eastAsia="仿宋_GB2312"/>
          <w:sz w:val="32"/>
          <w:szCs w:val="32"/>
        </w:rPr>
        <w:t>%；</w:t>
      </w:r>
    </w:p>
    <w:p w14:paraId="6C13698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69" w:name="PO_part2A1Amount2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9"/>
      <w:r>
        <w:rPr>
          <w:rFonts w:hint="eastAsia" w:ascii="Times New Roman" w:hAnsi="Times New Roman" w:eastAsia="仿宋_GB2312"/>
          <w:sz w:val="32"/>
          <w:szCs w:val="32"/>
        </w:rPr>
        <w:t>万元，占</w:t>
      </w:r>
      <w:bookmarkStart w:id="70" w:name="PO_part2A1Amount22"/>
      <w:r>
        <w:rPr>
          <w:rFonts w:hint="eastAsia" w:ascii="Times New Roman" w:hAnsi="Times New Roman" w:eastAsia="仿宋_GB2312"/>
          <w:sz w:val="32"/>
          <w:szCs w:val="32"/>
        </w:rPr>
        <w:t xml:space="preserve">0.00 </w:t>
      </w:r>
      <w:bookmarkEnd w:id="70"/>
      <w:r>
        <w:rPr>
          <w:rFonts w:hint="eastAsia" w:ascii="Times New Roman" w:hAnsi="Times New Roman" w:eastAsia="仿宋_GB2312"/>
          <w:sz w:val="32"/>
          <w:szCs w:val="32"/>
        </w:rPr>
        <w:t>%；</w:t>
      </w:r>
    </w:p>
    <w:p w14:paraId="1FC11C7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bookmarkStart w:id="71" w:name="PO_part2A1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1"/>
      <w:r>
        <w:rPr>
          <w:rFonts w:hint="eastAsia" w:ascii="Times New Roman" w:hAnsi="Times New Roman" w:eastAsia="仿宋_GB2312"/>
          <w:sz w:val="32"/>
          <w:szCs w:val="32"/>
        </w:rPr>
        <w:t>万元，占</w:t>
      </w:r>
      <w:bookmarkStart w:id="72" w:name="PO_part2A1Amount24"/>
      <w:r>
        <w:rPr>
          <w:rFonts w:hint="eastAsia" w:ascii="Times New Roman" w:hAnsi="Times New Roman" w:eastAsia="仿宋_GB2312"/>
          <w:sz w:val="32"/>
          <w:szCs w:val="32"/>
        </w:rPr>
        <w:t xml:space="preserve">0.00 </w:t>
      </w:r>
      <w:bookmarkEnd w:id="72"/>
      <w:r>
        <w:rPr>
          <w:rFonts w:hint="eastAsia" w:ascii="Times New Roman" w:hAnsi="Times New Roman" w:eastAsia="仿宋_GB2312"/>
          <w:sz w:val="32"/>
          <w:szCs w:val="32"/>
        </w:rPr>
        <w:t>%；</w:t>
      </w:r>
    </w:p>
    <w:p w14:paraId="6AD9E59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3" w:name="PO_part2A1Amount2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3"/>
      <w:r>
        <w:rPr>
          <w:rFonts w:hint="eastAsia" w:ascii="Times New Roman" w:hAnsi="Times New Roman" w:eastAsia="仿宋_GB2312"/>
          <w:sz w:val="32"/>
          <w:szCs w:val="32"/>
        </w:rPr>
        <w:t>万元，占</w:t>
      </w:r>
      <w:bookmarkStart w:id="74" w:name="PO_part2A1Amount26"/>
      <w:r>
        <w:rPr>
          <w:rFonts w:hint="eastAsia" w:ascii="Times New Roman" w:hAnsi="Times New Roman" w:eastAsia="仿宋_GB2312"/>
          <w:sz w:val="32"/>
          <w:szCs w:val="32"/>
        </w:rPr>
        <w:t xml:space="preserve">0.00 </w:t>
      </w:r>
      <w:bookmarkEnd w:id="74"/>
      <w:r>
        <w:rPr>
          <w:rFonts w:hint="eastAsia" w:ascii="Times New Roman" w:hAnsi="Times New Roman" w:eastAsia="仿宋_GB2312"/>
          <w:sz w:val="32"/>
          <w:szCs w:val="32"/>
        </w:rPr>
        <w:t>%；</w:t>
      </w:r>
    </w:p>
    <w:p w14:paraId="5361DD2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bookmarkStart w:id="75" w:name="PO_part2A1Amount2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5"/>
      <w:r>
        <w:rPr>
          <w:rFonts w:hint="eastAsia" w:ascii="Times New Roman" w:hAnsi="Times New Roman" w:eastAsia="仿宋_GB2312"/>
          <w:sz w:val="32"/>
          <w:szCs w:val="32"/>
        </w:rPr>
        <w:t>万元，占</w:t>
      </w:r>
      <w:bookmarkStart w:id="76" w:name="PO_part2A1Amount28"/>
      <w:r>
        <w:rPr>
          <w:rFonts w:hint="eastAsia" w:ascii="Times New Roman" w:hAnsi="Times New Roman" w:eastAsia="仿宋_GB2312"/>
          <w:sz w:val="32"/>
          <w:szCs w:val="32"/>
        </w:rPr>
        <w:t>0.00</w:t>
      </w:r>
      <w:r>
        <w:rPr>
          <w:rFonts w:hint="eastAsia" w:ascii="Times New Roman" w:hAnsi="Times New Roman" w:eastAsia="仿宋_GB2312"/>
          <w:sz w:val="18"/>
          <w:szCs w:val="18"/>
        </w:rPr>
        <w:t xml:space="preserve"> </w:t>
      </w:r>
      <w:bookmarkEnd w:id="76"/>
      <w:r>
        <w:rPr>
          <w:rFonts w:hint="eastAsia" w:ascii="Times New Roman" w:hAnsi="Times New Roman" w:eastAsia="仿宋_GB2312"/>
          <w:sz w:val="32"/>
          <w:szCs w:val="32"/>
        </w:rPr>
        <w:t>%；</w:t>
      </w:r>
    </w:p>
    <w:p w14:paraId="6071257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77" w:name="PO_part2A1Amount2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7"/>
      <w:r>
        <w:rPr>
          <w:rFonts w:hint="eastAsia" w:ascii="Times New Roman" w:hAnsi="Times New Roman" w:eastAsia="仿宋_GB2312"/>
          <w:sz w:val="32"/>
          <w:szCs w:val="32"/>
        </w:rPr>
        <w:t>万元，占</w:t>
      </w:r>
      <w:bookmarkStart w:id="78" w:name="PO_part2A1Amount30"/>
      <w:r>
        <w:rPr>
          <w:rFonts w:hint="eastAsia" w:ascii="Times New Roman" w:hAnsi="Times New Roman" w:eastAsia="仿宋_GB2312"/>
          <w:sz w:val="32"/>
          <w:szCs w:val="32"/>
        </w:rPr>
        <w:t>0.00</w:t>
      </w:r>
      <w:r>
        <w:rPr>
          <w:rFonts w:hint="eastAsia" w:ascii="Times New Roman" w:hAnsi="Times New Roman" w:eastAsia="仿宋_GB2312"/>
          <w:szCs w:val="21"/>
        </w:rPr>
        <w:t xml:space="preserve"> </w:t>
      </w:r>
      <w:bookmarkEnd w:id="78"/>
      <w:r>
        <w:rPr>
          <w:rFonts w:hint="eastAsia" w:ascii="Times New Roman" w:hAnsi="Times New Roman" w:eastAsia="仿宋_GB2312"/>
          <w:sz w:val="32"/>
          <w:szCs w:val="32"/>
        </w:rPr>
        <w:t>%；</w:t>
      </w:r>
    </w:p>
    <w:p w14:paraId="1B43165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bookmarkStart w:id="79" w:name="PO_part2A1Amount31"/>
      <w:r>
        <w:rPr>
          <w:rFonts w:hint="eastAsia" w:ascii="Times New Roman" w:hAnsi="Times New Roman" w:eastAsia="仿宋_GB2312"/>
          <w:sz w:val="32"/>
          <w:szCs w:val="32"/>
        </w:rPr>
        <w:t>817.7</w:t>
      </w:r>
      <w:r>
        <w:rPr>
          <w:rFonts w:hint="eastAsia" w:ascii="Times New Roman" w:hAnsi="Times New Roman" w:eastAsia="仿宋_GB2312"/>
          <w:sz w:val="11"/>
          <w:szCs w:val="11"/>
        </w:rPr>
        <w:t xml:space="preserve"> </w:t>
      </w:r>
      <w:bookmarkEnd w:id="79"/>
      <w:r>
        <w:rPr>
          <w:rFonts w:hint="eastAsia" w:ascii="Times New Roman" w:hAnsi="Times New Roman" w:eastAsia="仿宋_GB2312"/>
          <w:sz w:val="32"/>
          <w:szCs w:val="32"/>
        </w:rPr>
        <w:t>万元，占</w:t>
      </w:r>
      <w:bookmarkStart w:id="80" w:name="PO_part2A1Amount32"/>
      <w:r>
        <w:rPr>
          <w:rFonts w:hint="eastAsia" w:ascii="Times New Roman" w:hAnsi="Times New Roman" w:eastAsia="仿宋_GB2312"/>
          <w:sz w:val="32"/>
          <w:szCs w:val="32"/>
        </w:rPr>
        <w:t>20.00</w:t>
      </w:r>
      <w:r>
        <w:rPr>
          <w:rFonts w:hint="eastAsia" w:ascii="Times New Roman" w:hAnsi="Times New Roman" w:eastAsia="仿宋_GB2312"/>
          <w:sz w:val="11"/>
          <w:szCs w:val="11"/>
        </w:rPr>
        <w:t xml:space="preserve"> </w:t>
      </w:r>
      <w:bookmarkEnd w:id="80"/>
      <w:r>
        <w:rPr>
          <w:rFonts w:hint="eastAsia" w:ascii="Times New Roman" w:hAnsi="Times New Roman" w:eastAsia="仿宋_GB2312"/>
          <w:sz w:val="32"/>
          <w:szCs w:val="32"/>
        </w:rPr>
        <w:t>%。</w:t>
      </w:r>
    </w:p>
    <w:p w14:paraId="6D50816E">
      <w:pPr>
        <w:pStyle w:val="5"/>
        <w:spacing w:line="250" w:lineRule="auto"/>
        <w:rPr>
          <w:lang w:eastAsia="zh-CN"/>
        </w:rPr>
      </w:pPr>
    </w:p>
    <w:p w14:paraId="20DC1EF8">
      <w:pPr>
        <w:spacing w:before="101" w:line="222" w:lineRule="auto"/>
        <w:jc w:val="center"/>
        <w:rPr>
          <w:rFonts w:hint="eastAsia" w:ascii="仿宋" w:hAnsi="仿宋" w:eastAsia="仿宋" w:cs="仿宋"/>
          <w:spacing w:val="3"/>
          <w:sz w:val="31"/>
          <w:szCs w:val="31"/>
        </w:rPr>
      </w:pPr>
      <w:bookmarkStart w:id="81" w:name="PO_part2A1Table1"/>
      <w:r>
        <w:rPr>
          <w:rFonts w:hint="eastAsia" w:ascii="仿宋" w:hAnsi="仿宋" w:eastAsia="仿宋" w:cs="仿宋"/>
          <w:spacing w:val="3"/>
          <w:sz w:val="31"/>
          <w:szCs w:val="31"/>
        </w:rPr>
        <w:t xml:space="preserve">  </w:t>
      </w:r>
      <w:bookmarkEnd w:id="81"/>
      <w:r>
        <w:rPr>
          <w:rFonts w:hint="eastAsia" w:ascii="仿宋" w:hAnsi="仿宋" w:eastAsia="仿宋" w:cs="仿宋"/>
          <w:spacing w:val="3"/>
          <w:sz w:val="31"/>
          <w:szCs w:val="31"/>
        </w:rPr>
        <w:drawing>
          <wp:inline distT="0" distB="0" distL="114300" distR="114300">
            <wp:extent cx="4773295" cy="3110230"/>
            <wp:effectExtent l="4445" t="4445" r="1016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7E5C25">
      <w:pPr>
        <w:pStyle w:val="2"/>
        <w:keepNext w:val="0"/>
        <w:keepLines w:val="0"/>
        <w:pageBreakBefore w:val="0"/>
        <w:widowControl w:val="0"/>
        <w:kinsoku/>
        <w:wordWrap/>
        <w:overflowPunct/>
        <w:topLinePunct w:val="0"/>
        <w:autoSpaceDE/>
        <w:autoSpaceDN/>
        <w:bidi w:val="0"/>
        <w:adjustRightInd/>
        <w:snapToGrid/>
        <w:spacing w:before="120"/>
        <w:ind w:left="0" w:leftChars="0" w:firstLine="0" w:firstLineChars="0"/>
        <w:jc w:val="center"/>
        <w:textAlignment w:val="auto"/>
      </w:pPr>
      <w:r>
        <w:rPr>
          <w:rFonts w:hint="eastAsia" w:ascii="仿宋_GB2312" w:hAnsi="仿宋_GB2312" w:eastAsia="仿宋_GB2312" w:cs="仿宋_GB2312"/>
          <w:spacing w:val="3"/>
          <w:sz w:val="28"/>
          <w:szCs w:val="28"/>
          <w:lang w:val="en-US" w:eastAsia="zh-CN"/>
        </w:rPr>
        <w:t>图1.收入预算图</w:t>
      </w:r>
    </w:p>
    <w:p w14:paraId="6CF9FE00">
      <w:pPr>
        <w:spacing w:before="156" w:beforeLines="50" w:after="156" w:afterLines="50" w:line="600" w:lineRule="exact"/>
        <w:ind w:firstLine="640" w:firstLineChars="200"/>
        <w:outlineLvl w:val="2"/>
        <w:rPr>
          <w:rFonts w:ascii="黑体" w:hAnsi="黑体" w:eastAsia="黑体" w:cs="黑体"/>
          <w:sz w:val="31"/>
          <w:szCs w:val="31"/>
        </w:rPr>
      </w:pPr>
      <w:r>
        <w:rPr>
          <w:rFonts w:hint="eastAsia" w:eastAsia="黑体" w:cs="黑体"/>
          <w:sz w:val="32"/>
          <w:szCs w:val="36"/>
        </w:rPr>
        <w:t>三、支出预算情况说明</w:t>
      </w:r>
    </w:p>
    <w:p w14:paraId="60CECB79">
      <w:pPr>
        <w:spacing w:line="600" w:lineRule="exact"/>
        <w:ind w:firstLine="640" w:firstLineChars="200"/>
        <w:rPr>
          <w:rFonts w:ascii="Times New Roman" w:hAnsi="Times New Roman" w:eastAsia="仿宋_GB2312"/>
          <w:sz w:val="32"/>
          <w:szCs w:val="32"/>
        </w:rPr>
      </w:pPr>
      <w:bookmarkStart w:id="82" w:name="PO_part2A2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82"/>
      <w:r>
        <w:rPr>
          <w:rFonts w:hint="eastAsia" w:ascii="Times New Roman" w:hAnsi="Times New Roman" w:eastAsia="仿宋_GB2312"/>
          <w:sz w:val="32"/>
          <w:szCs w:val="32"/>
        </w:rPr>
        <w:t>2026年度支出预算合计</w:t>
      </w:r>
      <w:bookmarkStart w:id="83" w:name="PO_part2A2Amount2"/>
      <w:r>
        <w:rPr>
          <w:rFonts w:hint="eastAsia" w:ascii="Times New Roman" w:hAnsi="Times New Roman" w:eastAsia="仿宋_GB2312"/>
          <w:sz w:val="32"/>
          <w:szCs w:val="32"/>
        </w:rPr>
        <w:t>4087.9</w:t>
      </w:r>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rPr>
        <w:t>万元，其中：</w:t>
      </w:r>
    </w:p>
    <w:p w14:paraId="01E37545">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4" w:name="PO_part2A2Amount3"/>
      <w:r>
        <w:rPr>
          <w:rFonts w:hint="eastAsia" w:ascii="Times New Roman" w:hAnsi="Times New Roman" w:eastAsia="仿宋_GB2312"/>
          <w:sz w:val="32"/>
          <w:szCs w:val="32"/>
        </w:rPr>
        <w:t>1513.7</w:t>
      </w:r>
      <w:r>
        <w:rPr>
          <w:rFonts w:hint="eastAsia" w:ascii="Times New Roman" w:hAnsi="Times New Roman" w:eastAsia="仿宋_GB2312"/>
          <w:sz w:val="11"/>
          <w:szCs w:val="11"/>
        </w:rPr>
        <w:t xml:space="preserve"> </w:t>
      </w:r>
      <w:bookmarkEnd w:id="84"/>
      <w:r>
        <w:rPr>
          <w:rFonts w:hint="eastAsia" w:ascii="Times New Roman" w:hAnsi="Times New Roman" w:eastAsia="仿宋_GB2312"/>
          <w:sz w:val="32"/>
          <w:szCs w:val="32"/>
        </w:rPr>
        <w:t>万元，占</w:t>
      </w:r>
      <w:bookmarkStart w:id="85" w:name="PO_part2A2Amount4"/>
      <w:r>
        <w:rPr>
          <w:rFonts w:hint="eastAsia" w:ascii="Times New Roman" w:hAnsi="Times New Roman" w:eastAsia="仿宋_GB2312"/>
          <w:sz w:val="32"/>
          <w:szCs w:val="32"/>
        </w:rPr>
        <w:t>37.03</w:t>
      </w:r>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w:t>
      </w:r>
    </w:p>
    <w:p w14:paraId="23B9014E">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项目支出581.5万元，占</w:t>
      </w:r>
      <w:bookmarkStart w:id="86" w:name="PO_part2A2Amount6"/>
      <w:r>
        <w:rPr>
          <w:rFonts w:hint="eastAsia" w:ascii="Times New Roman" w:hAnsi="Times New Roman" w:eastAsia="仿宋_GB2312"/>
          <w:sz w:val="32"/>
          <w:szCs w:val="32"/>
        </w:rPr>
        <w:t>14.22</w:t>
      </w:r>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w:t>
      </w:r>
    </w:p>
    <w:p w14:paraId="0842D03D">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87" w:name="PO_part2A2Amount7"/>
      <w:r>
        <w:rPr>
          <w:rFonts w:hint="eastAsia" w:ascii="Times New Roman" w:hAnsi="Times New Roman" w:eastAsia="仿宋_GB2312"/>
          <w:sz w:val="32"/>
          <w:szCs w:val="32"/>
        </w:rPr>
        <w:t>1992.7</w:t>
      </w:r>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万元，占</w:t>
      </w:r>
      <w:bookmarkStart w:id="88" w:name="PO_part2A2Amount8"/>
      <w:r>
        <w:rPr>
          <w:rFonts w:hint="eastAsia" w:ascii="Times New Roman" w:hAnsi="Times New Roman" w:eastAsia="仿宋_GB2312"/>
          <w:sz w:val="32"/>
          <w:szCs w:val="32"/>
        </w:rPr>
        <w:t>48.75</w:t>
      </w:r>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w:t>
      </w:r>
    </w:p>
    <w:p w14:paraId="224B342F">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89" w:name="PO_part2A2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万元，占</w:t>
      </w:r>
      <w:bookmarkStart w:id="90" w:name="PO_part2A2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w:t>
      </w:r>
    </w:p>
    <w:p w14:paraId="7154BCC5">
      <w:pPr>
        <w:spacing w:line="600" w:lineRule="exact"/>
        <w:ind w:left="638" w:leftChars="304"/>
        <w:rPr>
          <w:rFonts w:eastAsia="宋体"/>
        </w:rPr>
      </w:pPr>
      <w:r>
        <w:rPr>
          <w:rFonts w:hint="eastAsia" w:ascii="Times New Roman" w:hAnsi="Times New Roman" w:eastAsia="仿宋_GB2312"/>
          <w:sz w:val="32"/>
          <w:szCs w:val="32"/>
        </w:rPr>
        <w:t>对附属单位补助支出</w:t>
      </w:r>
      <w:bookmarkStart w:id="91" w:name="PO_part2A2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万元，占</w:t>
      </w:r>
      <w:bookmarkStart w:id="92" w:name="PO_part2A2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w:t>
      </w:r>
    </w:p>
    <w:p w14:paraId="03F7D759">
      <w:pPr>
        <w:pStyle w:val="5"/>
        <w:spacing w:line="248" w:lineRule="auto"/>
        <w:rPr>
          <w:lang w:eastAsia="zh-CN"/>
        </w:rPr>
      </w:pPr>
    </w:p>
    <w:p w14:paraId="2678ADCE">
      <w:pPr>
        <w:spacing w:before="102" w:line="222" w:lineRule="auto"/>
        <w:jc w:val="center"/>
        <w:rPr>
          <w:rFonts w:eastAsia="仿宋"/>
        </w:rPr>
      </w:pPr>
      <w:bookmarkStart w:id="93" w:name="PO_part2A2Table1"/>
      <w:r>
        <w:rPr>
          <w:rFonts w:hint="eastAsia"/>
        </w:rPr>
        <w:t xml:space="preserve">  </w:t>
      </w:r>
      <w:bookmarkEnd w:id="93"/>
    </w:p>
    <w:p w14:paraId="3C984BB9">
      <w:pPr>
        <w:pStyle w:val="5"/>
        <w:spacing w:line="272" w:lineRule="auto"/>
        <w:rPr>
          <w:rFonts w:hint="eastAsia"/>
        </w:rPr>
      </w:pPr>
      <w:r>
        <w:rPr>
          <w:rFonts w:hint="eastAsia"/>
        </w:rPr>
        <w:drawing>
          <wp:inline distT="0" distB="0" distL="114300" distR="114300">
            <wp:extent cx="4772025" cy="3302000"/>
            <wp:effectExtent l="4445" t="4445" r="1143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7EA657">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lang w:eastAsia="zh-CN"/>
        </w:rPr>
      </w:pPr>
      <w:r>
        <w:rPr>
          <w:rFonts w:hint="eastAsia" w:ascii="仿宋_GB2312" w:hAnsi="仿宋_GB2312" w:eastAsia="仿宋_GB2312" w:cs="仿宋_GB2312"/>
          <w:spacing w:val="3"/>
          <w:sz w:val="28"/>
          <w:szCs w:val="28"/>
          <w:lang w:val="en-US" w:eastAsia="zh-CN"/>
        </w:rPr>
        <w:t>图2.支出预算图</w:t>
      </w:r>
      <w:r>
        <w:rPr>
          <w:rFonts w:hint="eastAsia"/>
        </w:rPr>
        <w:t xml:space="preserve"> </w:t>
      </w:r>
    </w:p>
    <w:p w14:paraId="2F859D24">
      <w:pPr>
        <w:spacing w:after="156" w:afterLines="50" w:line="600" w:lineRule="exact"/>
        <w:ind w:firstLine="640" w:firstLineChars="200"/>
        <w:outlineLvl w:val="2"/>
        <w:rPr>
          <w:rFonts w:ascii="黑体" w:hAnsi="黑体" w:eastAsia="黑体" w:cs="黑体"/>
          <w:sz w:val="31"/>
          <w:szCs w:val="31"/>
        </w:rPr>
      </w:pPr>
      <w:r>
        <w:rPr>
          <w:rFonts w:hint="eastAsia" w:eastAsia="黑体" w:cs="黑体"/>
          <w:sz w:val="32"/>
          <w:szCs w:val="36"/>
        </w:rPr>
        <w:t>四、财政拨款收支预算总体情况说明</w:t>
      </w:r>
    </w:p>
    <w:p w14:paraId="60749011">
      <w:pPr>
        <w:spacing w:line="600" w:lineRule="exact"/>
        <w:ind w:firstLine="640" w:firstLineChars="200"/>
        <w:rPr>
          <w:rFonts w:ascii="Times New Roman" w:hAnsi="Times New Roman" w:eastAsia="仿宋_GB2312"/>
          <w:sz w:val="32"/>
          <w:szCs w:val="32"/>
        </w:rPr>
      </w:pPr>
      <w:bookmarkStart w:id="94" w:name="PO_part2A3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94"/>
      <w:r>
        <w:rPr>
          <w:rFonts w:hint="eastAsia" w:ascii="Times New Roman" w:hAnsi="Times New Roman" w:eastAsia="仿宋_GB2312"/>
          <w:sz w:val="32"/>
          <w:szCs w:val="32"/>
        </w:rPr>
        <w:t>2026年度财政拨款收入总计2095.2万元。与上年相比，财政拨款收入总计</w:t>
      </w:r>
      <w:bookmarkStart w:id="95" w:name="PO_part2A3Reason1"/>
      <w:r>
        <w:rPr>
          <w:rFonts w:hint="eastAsia" w:ascii="Times New Roman" w:hAnsi="Times New Roman" w:eastAsia="仿宋_GB2312"/>
          <w:sz w:val="32"/>
          <w:szCs w:val="32"/>
        </w:rPr>
        <w:t>增加3.0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万元，上升0.15%</w:t>
      </w:r>
      <w:r>
        <w:rPr>
          <w:rFonts w:hint="eastAsia" w:ascii="Times New Roman" w:hAnsi="Times New Roman" w:eastAsia="仿宋_GB2312"/>
          <w:sz w:val="11"/>
          <w:szCs w:val="11"/>
        </w:rPr>
        <w:t xml:space="preserve"> </w:t>
      </w:r>
      <w:bookmarkEnd w:id="95"/>
      <w:r>
        <w:rPr>
          <w:rFonts w:hint="eastAsia" w:ascii="Times New Roman" w:hAnsi="Times New Roman" w:eastAsia="仿宋_GB2312"/>
          <w:sz w:val="32"/>
          <w:szCs w:val="32"/>
        </w:rPr>
        <w:t>，主要原因是：</w:t>
      </w:r>
      <w:bookmarkStart w:id="96" w:name="PO_part2A3Reason2"/>
      <w:r>
        <w:rPr>
          <w:rFonts w:hint="eastAsia" w:ascii="Times New Roman" w:hAnsi="Times New Roman" w:eastAsia="仿宋_GB2312"/>
          <w:sz w:val="32"/>
          <w:szCs w:val="32"/>
        </w:rPr>
        <w:t>检验检测能力提升</w:t>
      </w:r>
      <w:r>
        <w:rPr>
          <w:rFonts w:hint="eastAsia" w:ascii="Times New Roman" w:hAnsi="Times New Roman" w:eastAsia="仿宋_GB2312"/>
          <w:sz w:val="11"/>
          <w:szCs w:val="11"/>
        </w:rPr>
        <w:t xml:space="preserve"> </w:t>
      </w:r>
      <w:bookmarkEnd w:id="96"/>
      <w:r>
        <w:rPr>
          <w:rFonts w:hint="eastAsia" w:ascii="Times New Roman" w:hAnsi="Times New Roman" w:eastAsia="仿宋_GB2312"/>
          <w:sz w:val="32"/>
          <w:szCs w:val="32"/>
        </w:rPr>
        <w:t>；</w:t>
      </w:r>
      <w:r>
        <w:rPr>
          <w:rFonts w:hint="eastAsia" w:ascii="仿宋" w:hAnsi="仿宋" w:eastAsia="仿宋" w:cs="仿宋"/>
          <w:sz w:val="32"/>
          <w:szCs w:val="32"/>
        </w:rPr>
        <w:t>财政拨款支出总计2</w:t>
      </w:r>
      <w:r>
        <w:rPr>
          <w:rFonts w:hint="eastAsia" w:ascii="Times New Roman" w:hAnsi="Times New Roman" w:eastAsia="仿宋_GB2312"/>
          <w:sz w:val="32"/>
          <w:szCs w:val="32"/>
        </w:rPr>
        <w:t>095.2</w:t>
      </w:r>
      <w:r>
        <w:rPr>
          <w:rFonts w:hint="eastAsia" w:ascii="仿宋" w:hAnsi="仿宋" w:eastAsia="仿宋" w:cs="仿宋"/>
          <w:sz w:val="32"/>
          <w:szCs w:val="32"/>
        </w:rPr>
        <w:t>万元，财政拨款支出总计</w:t>
      </w:r>
      <w:bookmarkStart w:id="97" w:name="PO_part2A3Reason3"/>
      <w:r>
        <w:rPr>
          <w:rFonts w:hint="eastAsia" w:ascii="Times New Roman" w:hAnsi="Times New Roman" w:eastAsia="仿宋_GB2312"/>
          <w:sz w:val="32"/>
          <w:szCs w:val="32"/>
        </w:rPr>
        <w:t>增加3.0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万元，上升0.15%</w:t>
      </w:r>
      <w:r>
        <w:rPr>
          <w:rFonts w:hint="eastAsia" w:ascii="仿宋" w:hAnsi="仿宋" w:eastAsia="仿宋" w:cs="仿宋"/>
          <w:sz w:val="11"/>
          <w:szCs w:val="11"/>
        </w:rPr>
        <w:t xml:space="preserve"> </w:t>
      </w:r>
      <w:bookmarkEnd w:id="97"/>
      <w:r>
        <w:rPr>
          <w:rFonts w:hint="eastAsia" w:ascii="仿宋" w:hAnsi="仿宋" w:eastAsia="仿宋" w:cs="仿宋"/>
          <w:sz w:val="32"/>
          <w:szCs w:val="32"/>
        </w:rPr>
        <w:t>，主要原因</w:t>
      </w:r>
      <w:r>
        <w:rPr>
          <w:rFonts w:hint="eastAsia" w:ascii="Times New Roman" w:hAnsi="Times New Roman" w:eastAsia="仿宋_GB2312"/>
          <w:sz w:val="32"/>
          <w:szCs w:val="32"/>
        </w:rPr>
        <w:t>是：</w:t>
      </w:r>
      <w:bookmarkStart w:id="98" w:name="PO_part2A3Reason4"/>
      <w:r>
        <w:rPr>
          <w:rFonts w:hint="eastAsia" w:ascii="Times New Roman" w:hAnsi="Times New Roman" w:eastAsia="仿宋_GB2312"/>
          <w:sz w:val="32"/>
          <w:szCs w:val="32"/>
        </w:rPr>
        <w:t>检验检测能力提升，保障机构正常运行，开展日常工作</w:t>
      </w:r>
      <w:r>
        <w:rPr>
          <w:rFonts w:hint="eastAsia" w:ascii="仿宋" w:hAnsi="仿宋" w:eastAsia="仿宋" w:cs="仿宋"/>
          <w:sz w:val="11"/>
          <w:szCs w:val="11"/>
        </w:rPr>
        <w:t xml:space="preserve"> </w:t>
      </w:r>
      <w:bookmarkEnd w:id="98"/>
      <w:r>
        <w:rPr>
          <w:rFonts w:hint="eastAsia" w:ascii="仿宋" w:hAnsi="仿宋" w:eastAsia="仿宋" w:cs="仿宋"/>
          <w:sz w:val="32"/>
          <w:szCs w:val="32"/>
        </w:rPr>
        <w:t>。</w:t>
      </w:r>
    </w:p>
    <w:p w14:paraId="62EB6A1A">
      <w:pPr>
        <w:spacing w:after="156" w:afterLines="50"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7F530B4E">
      <w:pPr>
        <w:spacing w:line="600" w:lineRule="exact"/>
        <w:ind w:firstLine="640" w:firstLineChars="200"/>
        <w:rPr>
          <w:rFonts w:ascii="Times New Roman" w:hAnsi="Times New Roman" w:eastAsia="仿宋_GB2312"/>
          <w:sz w:val="32"/>
          <w:szCs w:val="32"/>
        </w:rPr>
      </w:pPr>
      <w:bookmarkStart w:id="99" w:name="PO_part2A4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99"/>
      <w:r>
        <w:rPr>
          <w:rFonts w:hint="eastAsia" w:ascii="Times New Roman" w:hAnsi="Times New Roman" w:eastAsia="仿宋_GB2312"/>
          <w:sz w:val="32"/>
          <w:szCs w:val="32"/>
        </w:rPr>
        <w:t>2026年度一般公共预算财政拨款支出预算</w:t>
      </w:r>
      <w:bookmarkStart w:id="100" w:name="PO_part2A4Amount2"/>
      <w:r>
        <w:rPr>
          <w:rFonts w:hint="eastAsia" w:ascii="Times New Roman" w:hAnsi="Times New Roman" w:eastAsia="仿宋_GB2312"/>
          <w:sz w:val="32"/>
          <w:szCs w:val="32"/>
        </w:rPr>
        <w:t>209</w:t>
      </w:r>
      <w:bookmarkEnd w:id="100"/>
      <w:r>
        <w:rPr>
          <w:rFonts w:hint="eastAsia" w:ascii="Times New Roman" w:hAnsi="Times New Roman" w:eastAsia="仿宋_GB2312"/>
          <w:sz w:val="32"/>
          <w:szCs w:val="32"/>
        </w:rPr>
        <w:t>5.2万元，</w:t>
      </w:r>
      <w:bookmarkStart w:id="101" w:name="PO_part2A4Reason1"/>
      <w:r>
        <w:rPr>
          <w:rFonts w:hint="eastAsia" w:ascii="Times New Roman" w:hAnsi="Times New Roman" w:eastAsia="仿宋_GB2312"/>
          <w:sz w:val="32"/>
          <w:szCs w:val="32"/>
        </w:rPr>
        <w:t>增加3.04万元，上升0.15%</w:t>
      </w:r>
      <w:r>
        <w:rPr>
          <w:rFonts w:hint="eastAsia" w:ascii="Times New Roman" w:hAnsi="Times New Roman" w:eastAsia="仿宋_GB2312"/>
          <w:sz w:val="11"/>
          <w:szCs w:val="11"/>
        </w:rPr>
        <w:t xml:space="preserve"> </w:t>
      </w:r>
      <w:bookmarkEnd w:id="101"/>
      <w:r>
        <w:rPr>
          <w:rFonts w:hint="eastAsia" w:ascii="Times New Roman" w:hAnsi="Times New Roman" w:eastAsia="仿宋_GB2312"/>
          <w:sz w:val="32"/>
          <w:szCs w:val="32"/>
        </w:rPr>
        <w:t>，主要原因是：</w:t>
      </w:r>
      <w:bookmarkStart w:id="102" w:name="PO_part2A4Amount4"/>
      <w:r>
        <w:rPr>
          <w:rFonts w:hint="eastAsia" w:ascii="Times New Roman" w:hAnsi="Times New Roman" w:eastAsia="仿宋_GB2312"/>
          <w:sz w:val="32"/>
          <w:szCs w:val="32"/>
        </w:rPr>
        <w:t>检验检测能力提升，保障机构正常运行，开展日常工作</w:t>
      </w:r>
      <w:r>
        <w:rPr>
          <w:rFonts w:hint="eastAsia" w:ascii="Times New Roman" w:hAnsi="Times New Roman" w:eastAsia="仿宋_GB2312"/>
          <w:sz w:val="11"/>
          <w:szCs w:val="11"/>
        </w:rPr>
        <w:t xml:space="preserve"> </w:t>
      </w:r>
      <w:bookmarkEnd w:id="102"/>
      <w:r>
        <w:rPr>
          <w:rFonts w:hint="eastAsia" w:ascii="Times New Roman" w:hAnsi="Times New Roman" w:eastAsia="仿宋_GB2312"/>
          <w:sz w:val="32"/>
          <w:szCs w:val="32"/>
        </w:rPr>
        <w:t>。具体情况如下：</w:t>
      </w:r>
    </w:p>
    <w:p w14:paraId="65283F72">
      <w:pPr>
        <w:numPr>
          <w:ilvl w:val="0"/>
          <w:numId w:val="2"/>
        </w:numPr>
        <w:spacing w:line="600" w:lineRule="exact"/>
        <w:ind w:firstLine="640" w:firstLineChars="200"/>
        <w:rPr>
          <w:rFonts w:ascii="Times New Roman" w:hAnsi="Times New Roman" w:eastAsia="仿宋_GB2312"/>
          <w:sz w:val="32"/>
          <w:szCs w:val="32"/>
        </w:rPr>
      </w:pPr>
      <w:bookmarkStart w:id="103" w:name="PO_part2A4Amount3"/>
      <w:r>
        <w:rPr>
          <w:rFonts w:hint="eastAsia" w:ascii="Times New Roman" w:hAnsi="Times New Roman" w:eastAsia="仿宋_GB2312"/>
          <w:sz w:val="32"/>
          <w:szCs w:val="32"/>
        </w:rPr>
        <w:t>一般公共服务（类）</w:t>
      </w:r>
      <w:r>
        <w:rPr>
          <w:rFonts w:hint="eastAsia" w:ascii="Times New Roman" w:hAnsi="Times New Roman" w:eastAsia="仿宋_GB2312"/>
          <w:sz w:val="32"/>
          <w:szCs w:val="32"/>
          <w:shd w:val="clear" w:color="FFFFFF" w:fill="D9D9D9"/>
        </w:rPr>
        <w:cr/>
      </w:r>
      <w:r>
        <w:rPr>
          <w:rFonts w:hint="eastAsia" w:ascii="Times New Roman" w:hAnsi="Times New Roman" w:eastAsia="仿宋_GB2312"/>
          <w:sz w:val="32"/>
          <w:szCs w:val="32"/>
        </w:rPr>
        <w:t>一般公共服务类2026年财政拨款预算数为1848.98万元，比上年减少70.95万元。其中：</w:t>
      </w:r>
      <w:r>
        <w:rPr>
          <w:rFonts w:hint="eastAsia" w:ascii="Times New Roman" w:hAnsi="Times New Roman" w:eastAsia="仿宋_GB2312"/>
          <w:sz w:val="32"/>
          <w:szCs w:val="32"/>
        </w:rPr>
        <w:cr/>
      </w:r>
      <w:r>
        <w:rPr>
          <w:rFonts w:hint="eastAsia" w:ascii="Times New Roman" w:hAnsi="Times New Roman" w:eastAsia="仿宋_GB2312"/>
          <w:sz w:val="32"/>
          <w:szCs w:val="32"/>
        </w:rPr>
        <w:t>1.市场监督管理事务（款）质量安全监管（项）。2026年财政拨款预算数为506.5万元。主要用于：检验检测能力提升，与上年度相比减少27万元，下降5.06%，变动原因：我单位压缩一般公共预算财政拨款项目支出，用事业单位经营资金弥补不足。</w:t>
      </w:r>
      <w:r>
        <w:rPr>
          <w:rFonts w:hint="eastAsia" w:ascii="Times New Roman" w:hAnsi="Times New Roman" w:eastAsia="仿宋_GB2312"/>
          <w:sz w:val="32"/>
          <w:szCs w:val="32"/>
        </w:rPr>
        <w:cr/>
      </w:r>
      <w:r>
        <w:rPr>
          <w:rFonts w:hint="eastAsia" w:ascii="Times New Roman" w:hAnsi="Times New Roman" w:eastAsia="仿宋_GB2312"/>
          <w:sz w:val="32"/>
          <w:szCs w:val="32"/>
        </w:rPr>
        <w:t>2.市场监督管理事务（款）事业运行（项）。年初预算1267.48万元，与上年相比减少118.95万元，下降8.58%，变动原因：使用事业单位自有资金弥补财政拨款支出。</w:t>
      </w:r>
      <w:r>
        <w:rPr>
          <w:rFonts w:hint="eastAsia" w:ascii="Times New Roman" w:hAnsi="Times New Roman" w:eastAsia="仿宋_GB2312"/>
          <w:sz w:val="32"/>
          <w:szCs w:val="32"/>
        </w:rPr>
        <w:cr/>
      </w:r>
      <w:r>
        <w:rPr>
          <w:rFonts w:hint="eastAsia" w:ascii="Times New Roman" w:hAnsi="Times New Roman" w:eastAsia="仿宋_GB2312"/>
          <w:sz w:val="32"/>
          <w:szCs w:val="32"/>
        </w:rPr>
        <w:t>（二）社会保障和就业（类）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社会保障和就业类年初预算数为141.72万元，比上年增加32.49万元。其中：</w:t>
      </w:r>
      <w:r>
        <w:rPr>
          <w:rFonts w:hint="eastAsia" w:ascii="Times New Roman" w:hAnsi="Times New Roman" w:eastAsia="仿宋_GB2312"/>
          <w:sz w:val="32"/>
          <w:szCs w:val="32"/>
        </w:rPr>
        <w:cr/>
      </w:r>
      <w:r>
        <w:rPr>
          <w:rFonts w:hint="eastAsia" w:ascii="Times New Roman" w:hAnsi="Times New Roman" w:eastAsia="仿宋_GB2312"/>
          <w:sz w:val="32"/>
          <w:szCs w:val="32"/>
        </w:rPr>
        <w:t>1.行政事业单位养老支出（款）事业单位离退休（项）。年初预算21.72万元，主要用于归口管理的事业单位开支的离退休经费，与上年相比增加2.49万元，增长12.95%，变动原因：本年度新增退休人员，为足额支付退休人员生活补助增加事业单位离退休预算。</w:t>
      </w:r>
      <w:r>
        <w:rPr>
          <w:rFonts w:hint="eastAsia" w:ascii="Times New Roman" w:hAnsi="Times New Roman" w:eastAsia="仿宋_GB2312"/>
          <w:sz w:val="32"/>
          <w:szCs w:val="32"/>
        </w:rPr>
        <w:cr/>
      </w:r>
      <w:r>
        <w:rPr>
          <w:rFonts w:hint="eastAsia" w:ascii="Times New Roman" w:hAnsi="Times New Roman" w:eastAsia="仿宋_GB2312"/>
          <w:sz w:val="32"/>
          <w:szCs w:val="32"/>
        </w:rPr>
        <w:t>2.行政事业单位养老支出（款）机关事业单位基本养老保险缴费支出（项）。年初预算80万元，主要用于单位在编人员的养老保险支出，与上年度相比增加20万元，上升33.33%，变动原因：本年度增加事业单位经营支出中机关事业单位基本养老保险缴费支出57.22万元，较上年减少15.08万元，所以一般公共预算机关事业单位基本养老保险缴费支出较上年增加，用于保证在职职工机关养老保险正常缴纳。</w:t>
      </w:r>
      <w:r>
        <w:rPr>
          <w:rFonts w:hint="eastAsia" w:ascii="Times New Roman" w:hAnsi="Times New Roman" w:eastAsia="仿宋_GB2312"/>
          <w:sz w:val="32"/>
          <w:szCs w:val="32"/>
        </w:rPr>
        <w:cr/>
      </w:r>
      <w:r>
        <w:rPr>
          <w:rFonts w:hint="eastAsia" w:ascii="Times New Roman" w:hAnsi="Times New Roman" w:eastAsia="仿宋_GB2312"/>
          <w:sz w:val="32"/>
          <w:szCs w:val="32"/>
        </w:rPr>
        <w:t>3.行政事业单位养老支出（款）机关事业单位职业年金缴费支出（项）。年初预算40万元，主要用于在编人员的职业年金缴费支出，与上年度相比增加10万元，上升33.33%，变动原因：本年度增加事业单位经营支出的机关事业单位职业年金缴费支出28.61万元，较上年增加7.54万元，所以一般公共预算关事业单位职业年金缴费支出较上年减少。</w:t>
      </w:r>
      <w:r>
        <w:rPr>
          <w:rFonts w:hint="eastAsia" w:ascii="Times New Roman" w:hAnsi="Times New Roman" w:eastAsia="仿宋_GB2312"/>
          <w:sz w:val="32"/>
          <w:szCs w:val="32"/>
        </w:rPr>
        <w:cr/>
      </w:r>
      <w:r>
        <w:rPr>
          <w:rFonts w:hint="eastAsia" w:ascii="Times New Roman" w:hAnsi="Times New Roman" w:eastAsia="仿宋_GB2312"/>
          <w:sz w:val="32"/>
          <w:szCs w:val="32"/>
        </w:rPr>
        <w:t>（三）住房保障（类）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住房保障类年初预算数为74.17万元，比上年增加34.17万元，其中：</w:t>
      </w:r>
    </w:p>
    <w:p w14:paraId="3BFFFEE0">
      <w:pPr>
        <w:spacing w:line="600" w:lineRule="exact"/>
        <w:ind w:firstLine="640" w:firstLineChars="200"/>
        <w:rPr>
          <w:rFonts w:ascii="仿宋" w:hAnsi="仿宋" w:eastAsia="仿宋" w:cs="仿宋"/>
          <w:spacing w:val="-13"/>
          <w:sz w:val="31"/>
          <w:szCs w:val="31"/>
        </w:rPr>
      </w:pPr>
      <w:r>
        <w:rPr>
          <w:rFonts w:hint="eastAsia" w:ascii="Times New Roman" w:hAnsi="Times New Roman" w:eastAsia="仿宋_GB2312"/>
          <w:sz w:val="32"/>
          <w:szCs w:val="32"/>
        </w:rPr>
        <w:t>1.住房改革支出（款）住房公积金（项）。年初预算74.17万元，主要用于在职职工住房公积金的支出，与上年度相比增加34.17万元，增加85.43%，变动原因：工资核定标准变化及核定周期改变，导致住房公积金增加，且本年度减少事业单位经营支出的机关事业单位职业年金缴费支出53.55万元，较上年减少15.66万元，所以一般公共预算关事业单位职业年金缴费支出较上年增加。</w:t>
      </w:r>
      <w:r>
        <w:rPr>
          <w:rFonts w:hint="eastAsia" w:ascii="Times New Roman" w:hAnsi="Times New Roman" w:eastAsia="仿宋_GB2312"/>
          <w:sz w:val="32"/>
          <w:szCs w:val="32"/>
        </w:rPr>
        <w:cr/>
      </w:r>
      <w:r>
        <w:rPr>
          <w:rFonts w:hint="eastAsia" w:ascii="Times New Roman" w:hAnsi="Times New Roman" w:eastAsia="仿宋_GB2312"/>
          <w:sz w:val="32"/>
          <w:szCs w:val="32"/>
        </w:rPr>
        <w:t>（四）卫生健康（类）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卫生健康类年初预算数为30.33万元，比上年增加7.33万元。其中：</w:t>
      </w:r>
      <w:r>
        <w:rPr>
          <w:rFonts w:hint="eastAsia" w:ascii="Times New Roman" w:hAnsi="Times New Roman" w:eastAsia="仿宋_GB2312"/>
          <w:sz w:val="32"/>
          <w:szCs w:val="32"/>
        </w:rPr>
        <w:cr/>
      </w:r>
      <w:r>
        <w:rPr>
          <w:rFonts w:hint="eastAsia" w:ascii="Times New Roman" w:hAnsi="Times New Roman" w:eastAsia="仿宋_GB2312"/>
          <w:sz w:val="32"/>
          <w:szCs w:val="32"/>
        </w:rPr>
        <w:t>1.行政事业单位医疗（款）事业单位医疗（项）。年初预算30.33万元，主要用于单位在编人员的医疗保险支出，与上年度相比增加7.33万元，上升31.87%，变动原因：本年度事业单位经营支出的事业单位医疗19.47万元，较上年减少5.04万元，所以一般公共预算事业单位医疗较上年增加，且职工医疗保险核定基数增加，导致缴纳的医疗保险预算上升。</w:t>
      </w:r>
      <w:r>
        <w:rPr>
          <w:rFonts w:hint="eastAsia" w:ascii="Times New Roman" w:hAnsi="Times New Roman" w:eastAsia="仿宋_GB2312"/>
          <w:sz w:val="32"/>
          <w:szCs w:val="32"/>
        </w:rPr>
        <w:cr/>
      </w:r>
      <w:r>
        <w:rPr>
          <w:rFonts w:hint="eastAsia" w:ascii="Times New Roman" w:hAnsi="Times New Roman" w:eastAsia="仿宋_GB2312"/>
          <w:sz w:val="11"/>
          <w:szCs w:val="11"/>
        </w:rPr>
        <w:t xml:space="preserve"> </w:t>
      </w:r>
      <w:bookmarkEnd w:id="103"/>
    </w:p>
    <w:p w14:paraId="2B032714">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1517CA9E">
      <w:pPr>
        <w:spacing w:line="600" w:lineRule="exact"/>
        <w:ind w:firstLine="640" w:firstLineChars="200"/>
        <w:rPr>
          <w:rFonts w:ascii="Times New Roman" w:hAnsi="Times New Roman" w:eastAsia="仿宋_GB2312"/>
          <w:sz w:val="32"/>
          <w:szCs w:val="32"/>
        </w:rPr>
      </w:pPr>
      <w:bookmarkStart w:id="104" w:name="PO_part2A5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104"/>
      <w:r>
        <w:rPr>
          <w:rFonts w:hint="eastAsia" w:ascii="Times New Roman" w:hAnsi="Times New Roman" w:eastAsia="仿宋_GB2312"/>
          <w:sz w:val="32"/>
          <w:szCs w:val="32"/>
        </w:rPr>
        <w:t>2026年度一般公共预算财政拨款基本支出预算</w:t>
      </w:r>
      <w:bookmarkStart w:id="105" w:name="PO_part2A5Amount4"/>
      <w:r>
        <w:rPr>
          <w:rFonts w:hint="eastAsia" w:ascii="Times New Roman" w:hAnsi="Times New Roman" w:eastAsia="仿宋_GB2312"/>
          <w:sz w:val="32"/>
          <w:szCs w:val="32"/>
        </w:rPr>
        <w:t>1513.7</w:t>
      </w:r>
      <w:r>
        <w:rPr>
          <w:rFonts w:hint="eastAsia" w:ascii="Times New Roman" w:hAnsi="Times New Roman" w:eastAsia="仿宋_GB2312"/>
          <w:sz w:val="11"/>
          <w:szCs w:val="11"/>
        </w:rPr>
        <w:t xml:space="preserve"> </w:t>
      </w:r>
      <w:bookmarkEnd w:id="105"/>
      <w:r>
        <w:rPr>
          <w:rFonts w:hint="eastAsia" w:ascii="Times New Roman" w:hAnsi="Times New Roman" w:eastAsia="仿宋_GB2312"/>
          <w:sz w:val="32"/>
          <w:szCs w:val="32"/>
        </w:rPr>
        <w:t>万元，与上年相比</w:t>
      </w:r>
      <w:bookmarkStart w:id="106" w:name="PO_part2A5Amount5"/>
      <w:r>
        <w:rPr>
          <w:rFonts w:hint="eastAsia" w:ascii="Times New Roman" w:hAnsi="Times New Roman" w:eastAsia="仿宋_GB2312"/>
          <w:sz w:val="32"/>
          <w:szCs w:val="32"/>
        </w:rPr>
        <w:t>增加34.0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万元，上升2.3</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106"/>
      <w:r>
        <w:rPr>
          <w:rFonts w:hint="eastAsia" w:ascii="Times New Roman" w:hAnsi="Times New Roman" w:eastAsia="仿宋_GB2312"/>
          <w:sz w:val="32"/>
          <w:szCs w:val="32"/>
        </w:rPr>
        <w:t>，其中：</w:t>
      </w:r>
    </w:p>
    <w:p w14:paraId="7F8C597A">
      <w:pPr>
        <w:spacing w:line="600" w:lineRule="exact"/>
        <w:ind w:firstLine="612" w:firstLineChars="200"/>
        <w:rPr>
          <w:rFonts w:ascii="仿宋" w:hAnsi="仿宋" w:eastAsia="仿宋" w:cs="仿宋"/>
          <w:sz w:val="31"/>
          <w:szCs w:val="31"/>
        </w:rPr>
      </w:pPr>
      <w:r>
        <w:rPr>
          <w:rFonts w:ascii="仿宋" w:hAnsi="仿宋" w:eastAsia="仿宋" w:cs="仿宋"/>
          <w:spacing w:val="-7"/>
          <w:sz w:val="32"/>
          <w:szCs w:val="32"/>
          <w14:textOutline w14:w="5791" w14:cap="sq" w14:cmpd="sng" w14:algn="ctr">
            <w14:solidFill>
              <w14:srgbClr w14:val="000000"/>
            </w14:solidFill>
            <w14:prstDash w14:val="solid"/>
            <w14:bevel/>
          </w14:textOutline>
        </w:rPr>
        <w:t>（</w:t>
      </w:r>
      <w:r>
        <w:rPr>
          <w:rFonts w:ascii="仿宋" w:hAnsi="仿宋" w:eastAsia="仿宋" w:cs="仿宋"/>
          <w:spacing w:val="-70"/>
          <w:sz w:val="32"/>
          <w:szCs w:val="32"/>
        </w:rPr>
        <w:t xml:space="preserve"> </w:t>
      </w:r>
      <w:r>
        <w:rPr>
          <w:rFonts w:ascii="仿宋" w:hAnsi="仿宋" w:eastAsia="仿宋" w:cs="仿宋"/>
          <w:spacing w:val="-7"/>
          <w:sz w:val="32"/>
          <w:szCs w:val="32"/>
          <w14:textOutline w14:w="5791" w14:cap="sq" w14:cmpd="sng" w14:algn="ctr">
            <w14:solidFill>
              <w14:srgbClr w14:val="000000"/>
            </w14:solidFill>
            <w14:prstDash w14:val="solid"/>
            <w14:bevel/>
          </w14:textOutline>
        </w:rPr>
        <w:t>一）人员经</w:t>
      </w:r>
      <w:r>
        <w:rPr>
          <w:rFonts w:ascii="仿宋" w:hAnsi="仿宋" w:eastAsia="仿宋" w:cs="仿宋"/>
          <w:spacing w:val="2"/>
          <w:sz w:val="32"/>
          <w:szCs w:val="32"/>
          <w14:textOutline w14:w="5791" w14:cap="sq" w14:cmpd="sng" w14:algn="ctr">
            <w14:solidFill>
              <w14:srgbClr w14:val="000000"/>
            </w14:solidFill>
            <w14:prstDash w14:val="solid"/>
            <w14:bevel/>
          </w14:textOutline>
        </w:rPr>
        <w:t>费</w:t>
      </w:r>
      <w:bookmarkStart w:id="107" w:name="PO_part2A5Amount2"/>
      <w:r>
        <w:rPr>
          <w:rFonts w:hint="eastAsia" w:ascii="Times New Roman" w:hAnsi="Times New Roman" w:eastAsia="仿宋_GB2312"/>
          <w:sz w:val="32"/>
          <w:szCs w:val="32"/>
        </w:rPr>
        <w:t>1513</w:t>
      </w:r>
      <w:r>
        <w:rPr>
          <w:rFonts w:hint="eastAsia" w:ascii="Times New Roman" w:hAnsi="Times New Roman" w:eastAsia="仿宋_GB2312"/>
          <w:sz w:val="11"/>
          <w:szCs w:val="11"/>
        </w:rPr>
        <w:t xml:space="preserve"> </w:t>
      </w:r>
      <w:r>
        <w:rPr>
          <w:rFonts w:ascii="仿宋" w:hAnsi="仿宋" w:eastAsia="仿宋" w:cs="仿宋"/>
          <w:spacing w:val="-121"/>
          <w:sz w:val="31"/>
          <w:szCs w:val="31"/>
        </w:rPr>
        <w:t xml:space="preserve"> </w:t>
      </w:r>
      <w:bookmarkEnd w:id="107"/>
      <w:r>
        <w:rPr>
          <w:rFonts w:hint="eastAsia" w:ascii="仿宋" w:hAnsi="仿宋" w:eastAsia="仿宋" w:cs="仿宋"/>
          <w:spacing w:val="-121"/>
          <w:sz w:val="31"/>
          <w:szCs w:val="31"/>
        </w:rPr>
        <w:t xml:space="preserve">     </w:t>
      </w:r>
      <w:r>
        <w:rPr>
          <w:rFonts w:ascii="仿宋" w:hAnsi="仿宋" w:eastAsia="仿宋" w:cs="仿宋"/>
          <w:spacing w:val="-7"/>
          <w:sz w:val="32"/>
          <w:szCs w:val="32"/>
          <w14:textOutline w14:w="5791" w14:cap="sq" w14:cmpd="sng" w14:algn="ctr">
            <w14:solidFill>
              <w14:srgbClr w14:val="000000"/>
            </w14:solidFill>
            <w14:prstDash w14:val="solid"/>
            <w14:bevel/>
          </w14:textOutline>
        </w:rPr>
        <w:t>万元</w:t>
      </w:r>
      <w:r>
        <w:rPr>
          <w:rFonts w:ascii="仿宋" w:hAnsi="仿宋" w:eastAsia="仿宋" w:cs="仿宋"/>
          <w:spacing w:val="-7"/>
          <w:sz w:val="31"/>
          <w:szCs w:val="31"/>
        </w:rPr>
        <w:t>。</w:t>
      </w:r>
      <w:bookmarkStart w:id="108" w:name="PO_part2A5Reason1"/>
      <w:r>
        <w:rPr>
          <w:rFonts w:hint="eastAsia" w:ascii="Times New Roman" w:hAnsi="Times New Roman" w:eastAsia="仿宋_GB2312"/>
          <w:sz w:val="32"/>
          <w:szCs w:val="32"/>
        </w:rPr>
        <w:t>主要包括：基本工资282</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万元、津贴补贴169.7</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万元、奖金57.3</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万元、绩效工资203.5</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万元、机关事业单位基本养老保险缴费80</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万元、职业年金缴费40</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万元、职工基本医疗保险缴费30.33万元、其他社会保障缴费5.5</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万元、住房公积金74.17万元、其他工资福利支出548.78万元、退休费21.72万元</w:t>
      </w:r>
      <w:r>
        <w:rPr>
          <w:rFonts w:hint="eastAsia" w:ascii="Times New Roman" w:hAnsi="Times New Roman" w:eastAsia="仿宋_GB2312"/>
          <w:sz w:val="11"/>
          <w:szCs w:val="11"/>
        </w:rPr>
        <w:t xml:space="preserve"> </w:t>
      </w:r>
      <w:bookmarkEnd w:id="108"/>
      <w:r>
        <w:rPr>
          <w:rFonts w:ascii="仿宋" w:hAnsi="仿宋" w:eastAsia="仿宋" w:cs="仿宋"/>
          <w:spacing w:val="5"/>
          <w:sz w:val="31"/>
          <w:szCs w:val="31"/>
        </w:rPr>
        <w:t>。</w:t>
      </w:r>
    </w:p>
    <w:p w14:paraId="6F737685">
      <w:pPr>
        <w:spacing w:line="600" w:lineRule="exact"/>
        <w:ind w:firstLine="648" w:firstLineChars="200"/>
        <w:rPr>
          <w:rFonts w:ascii="仿宋" w:hAnsi="仿宋" w:eastAsia="仿宋" w:cs="仿宋"/>
          <w:spacing w:val="-12"/>
          <w:sz w:val="31"/>
          <w:szCs w:val="31"/>
        </w:rPr>
      </w:pPr>
      <w:r>
        <w:rPr>
          <w:rFonts w:ascii="仿宋" w:hAnsi="仿宋" w:eastAsia="仿宋" w:cs="仿宋"/>
          <w:spacing w:val="2"/>
          <w:sz w:val="32"/>
          <w:szCs w:val="32"/>
          <w14:textOutline w14:w="5791" w14:cap="sq" w14:cmpd="sng" w14:algn="ctr">
            <w14:solidFill>
              <w14:srgbClr w14:val="000000"/>
            </w14:solidFill>
            <w14:prstDash w14:val="solid"/>
            <w14:bevel/>
          </w14:textOutline>
        </w:rPr>
        <w:t>（</w:t>
      </w:r>
      <w:r>
        <w:rPr>
          <w:rFonts w:ascii="仿宋" w:hAnsi="仿宋" w:eastAsia="仿宋" w:cs="仿宋"/>
          <w:spacing w:val="-65"/>
          <w:sz w:val="32"/>
          <w:szCs w:val="32"/>
        </w:rPr>
        <w:t xml:space="preserve"> </w:t>
      </w:r>
      <w:r>
        <w:rPr>
          <w:rFonts w:ascii="仿宋" w:hAnsi="仿宋" w:eastAsia="仿宋" w:cs="仿宋"/>
          <w:spacing w:val="2"/>
          <w:sz w:val="32"/>
          <w:szCs w:val="32"/>
          <w14:textOutline w14:w="5791" w14:cap="sq" w14:cmpd="sng" w14:algn="ctr">
            <w14:solidFill>
              <w14:srgbClr w14:val="000000"/>
            </w14:solidFill>
            <w14:prstDash w14:val="solid"/>
            <w14:bevel/>
          </w14:textOutline>
        </w:rPr>
        <w:t>二）公用经费</w:t>
      </w:r>
      <w:bookmarkStart w:id="109" w:name="PO_part2A5Amount3"/>
      <w:r>
        <w:rPr>
          <w:rFonts w:hint="eastAsia" w:ascii="Times New Roman" w:hAnsi="Times New Roman" w:eastAsia="仿宋_GB2312"/>
          <w:sz w:val="32"/>
          <w:szCs w:val="32"/>
        </w:rPr>
        <w:t>0.7</w:t>
      </w:r>
      <w:r>
        <w:rPr>
          <w:rFonts w:hint="eastAsia" w:ascii="Times New Roman" w:hAnsi="Times New Roman" w:eastAsia="仿宋_GB2312"/>
          <w:sz w:val="11"/>
          <w:szCs w:val="11"/>
        </w:rPr>
        <w:t xml:space="preserve"> </w:t>
      </w:r>
      <w:r>
        <w:rPr>
          <w:rFonts w:ascii="仿宋" w:hAnsi="仿宋" w:eastAsia="仿宋" w:cs="仿宋"/>
          <w:spacing w:val="-124"/>
          <w:sz w:val="31"/>
          <w:szCs w:val="31"/>
        </w:rPr>
        <w:t xml:space="preserve"> </w:t>
      </w:r>
      <w:bookmarkEnd w:id="109"/>
      <w:r>
        <w:rPr>
          <w:rFonts w:ascii="仿宋" w:hAnsi="仿宋" w:eastAsia="仿宋" w:cs="仿宋"/>
          <w:spacing w:val="2"/>
          <w:sz w:val="32"/>
          <w:szCs w:val="32"/>
          <w14:textOutline w14:w="5791" w14:cap="sq" w14:cmpd="sng" w14:algn="ctr">
            <w14:solidFill>
              <w14:srgbClr w14:val="000000"/>
            </w14:solidFill>
            <w14:prstDash w14:val="solid"/>
            <w14:bevel/>
          </w14:textOutline>
        </w:rPr>
        <w:t>万元</w:t>
      </w:r>
      <w:r>
        <w:rPr>
          <w:rFonts w:ascii="仿宋" w:hAnsi="仿宋" w:eastAsia="仿宋" w:cs="仿宋"/>
          <w:spacing w:val="2"/>
          <w:sz w:val="31"/>
          <w:szCs w:val="31"/>
        </w:rPr>
        <w:t>。</w:t>
      </w:r>
      <w:bookmarkStart w:id="110" w:name="PO_part2A5Reason2"/>
      <w:r>
        <w:rPr>
          <w:rFonts w:hint="eastAsia" w:ascii="Times New Roman" w:hAnsi="Times New Roman" w:eastAsia="仿宋_GB2312"/>
          <w:sz w:val="32"/>
          <w:szCs w:val="32"/>
        </w:rPr>
        <w:t>主要包括：办公费0.7万元</w:t>
      </w:r>
      <w:r>
        <w:rPr>
          <w:rFonts w:hint="eastAsia" w:ascii="Times New Roman" w:hAnsi="Times New Roman" w:eastAsia="仿宋_GB2312"/>
          <w:sz w:val="11"/>
          <w:szCs w:val="11"/>
        </w:rPr>
        <w:t xml:space="preserve"> </w:t>
      </w:r>
      <w:bookmarkEnd w:id="110"/>
      <w:r>
        <w:rPr>
          <w:rFonts w:ascii="仿宋" w:hAnsi="仿宋" w:eastAsia="仿宋" w:cs="仿宋"/>
          <w:spacing w:val="-12"/>
          <w:sz w:val="31"/>
          <w:szCs w:val="31"/>
        </w:rPr>
        <w:t>。</w:t>
      </w:r>
    </w:p>
    <w:p w14:paraId="53FCFC68">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 xml:space="preserve">七、财政拨款“三公”经费支出决算情况说明 </w:t>
      </w:r>
    </w:p>
    <w:p w14:paraId="3A0F61EF">
      <w:pPr>
        <w:spacing w:line="600" w:lineRule="exact"/>
        <w:ind w:firstLine="640" w:firstLineChars="200"/>
        <w:rPr>
          <w:rFonts w:ascii="Times New Roman" w:hAnsi="Times New Roman" w:eastAsia="仿宋_GB2312"/>
          <w:sz w:val="32"/>
          <w:szCs w:val="32"/>
        </w:rPr>
      </w:pPr>
      <w:bookmarkStart w:id="111" w:name="PO_part2A6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111"/>
      <w:r>
        <w:rPr>
          <w:rFonts w:hint="eastAsia" w:ascii="Times New Roman" w:hAnsi="Times New Roman" w:eastAsia="仿宋_GB2312"/>
          <w:sz w:val="32"/>
          <w:szCs w:val="32"/>
        </w:rPr>
        <w:t>2026年度一般公共预算拨款安排的“三公”经费预算支出</w:t>
      </w:r>
      <w:bookmarkStart w:id="112" w:name="PO_part2A6Amount2"/>
      <w:r>
        <w:rPr>
          <w:rFonts w:hint="eastAsia" w:ascii="Times New Roman" w:hAnsi="Times New Roman" w:eastAsia="仿宋_GB2312"/>
          <w:sz w:val="32"/>
          <w:szCs w:val="32"/>
        </w:rPr>
        <w:t>51.15</w:t>
      </w:r>
      <w:r>
        <w:rPr>
          <w:rFonts w:hint="eastAsia" w:ascii="Times New Roman" w:hAnsi="Times New Roman" w:eastAsia="仿宋_GB2312"/>
          <w:sz w:val="11"/>
          <w:szCs w:val="11"/>
        </w:rPr>
        <w:t xml:space="preserve"> </w:t>
      </w:r>
      <w:bookmarkEnd w:id="112"/>
      <w:r>
        <w:rPr>
          <w:rFonts w:hint="eastAsia" w:ascii="Times New Roman" w:hAnsi="Times New Roman" w:eastAsia="仿宋_GB2312"/>
          <w:sz w:val="32"/>
          <w:szCs w:val="32"/>
        </w:rPr>
        <w:t>万元，其中因公出国（境）费支出</w:t>
      </w:r>
      <w:bookmarkStart w:id="113" w:name="PO_part2A6Amount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3"/>
      <w:r>
        <w:rPr>
          <w:rFonts w:hint="eastAsia" w:ascii="Times New Roman" w:hAnsi="Times New Roman" w:eastAsia="仿宋_GB2312"/>
          <w:sz w:val="32"/>
          <w:szCs w:val="32"/>
        </w:rPr>
        <w:t>万元，占</w:t>
      </w:r>
      <w:bookmarkStart w:id="114" w:name="PO_part2A6Amount4"/>
      <w:r>
        <w:rPr>
          <w:rFonts w:hint="eastAsia" w:ascii="Times New Roman" w:hAnsi="Times New Roman" w:eastAsia="仿宋_GB2312"/>
          <w:sz w:val="32"/>
          <w:szCs w:val="32"/>
        </w:rPr>
        <w:t xml:space="preserve">0.00 </w:t>
      </w:r>
      <w:bookmarkEnd w:id="114"/>
      <w:r>
        <w:rPr>
          <w:rFonts w:hint="eastAsia" w:ascii="Times New Roman" w:hAnsi="Times New Roman" w:eastAsia="仿宋_GB2312"/>
          <w:sz w:val="32"/>
          <w:szCs w:val="32"/>
        </w:rPr>
        <w:t>%；公务用车购置及运行维护费支出</w:t>
      </w:r>
      <w:bookmarkStart w:id="115" w:name="PO_part2A6Amount5"/>
      <w:r>
        <w:rPr>
          <w:rFonts w:hint="eastAsia" w:ascii="Times New Roman" w:hAnsi="Times New Roman" w:eastAsia="仿宋_GB2312"/>
          <w:sz w:val="32"/>
          <w:szCs w:val="32"/>
        </w:rPr>
        <w:t>50.65</w:t>
      </w:r>
      <w:r>
        <w:rPr>
          <w:rFonts w:hint="eastAsia" w:ascii="Times New Roman" w:hAnsi="Times New Roman" w:eastAsia="仿宋_GB2312"/>
          <w:sz w:val="11"/>
          <w:szCs w:val="11"/>
        </w:rPr>
        <w:t xml:space="preserve"> </w:t>
      </w:r>
      <w:bookmarkEnd w:id="115"/>
      <w:r>
        <w:rPr>
          <w:rFonts w:hint="eastAsia" w:ascii="Times New Roman" w:hAnsi="Times New Roman" w:eastAsia="仿宋_GB2312"/>
          <w:sz w:val="32"/>
          <w:szCs w:val="32"/>
        </w:rPr>
        <w:t>万元，占</w:t>
      </w:r>
      <w:bookmarkStart w:id="116" w:name="PO_part2A6Amount6"/>
      <w:r>
        <w:rPr>
          <w:rFonts w:hint="eastAsia" w:ascii="Times New Roman" w:hAnsi="Times New Roman" w:eastAsia="仿宋_GB2312"/>
          <w:sz w:val="32"/>
          <w:szCs w:val="32"/>
        </w:rPr>
        <w:t xml:space="preserve">99.02 </w:t>
      </w:r>
      <w:bookmarkEnd w:id="116"/>
      <w:r>
        <w:rPr>
          <w:rFonts w:hint="eastAsia" w:ascii="Times New Roman" w:hAnsi="Times New Roman" w:eastAsia="仿宋_GB2312"/>
          <w:sz w:val="32"/>
          <w:szCs w:val="32"/>
        </w:rPr>
        <w:t>%；公务接待费支出</w:t>
      </w:r>
      <w:bookmarkStart w:id="117" w:name="PO_part2A6Amount7"/>
      <w:r>
        <w:rPr>
          <w:rFonts w:hint="eastAsia" w:ascii="Times New Roman" w:hAnsi="Times New Roman" w:eastAsia="仿宋_GB2312"/>
          <w:sz w:val="32"/>
          <w:szCs w:val="32"/>
        </w:rPr>
        <w:t>0.5</w:t>
      </w:r>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万元，占</w:t>
      </w:r>
      <w:bookmarkStart w:id="118" w:name="PO_part2A6Amount8"/>
      <w:r>
        <w:rPr>
          <w:rFonts w:hint="eastAsia" w:ascii="Times New Roman" w:hAnsi="Times New Roman" w:eastAsia="仿宋_GB2312"/>
          <w:sz w:val="32"/>
          <w:szCs w:val="32"/>
        </w:rPr>
        <w:t xml:space="preserve">0.97 </w:t>
      </w:r>
      <w:bookmarkEnd w:id="118"/>
      <w:r>
        <w:rPr>
          <w:rFonts w:hint="eastAsia" w:ascii="Times New Roman" w:hAnsi="Times New Roman" w:eastAsia="仿宋_GB2312"/>
          <w:sz w:val="32"/>
          <w:szCs w:val="32"/>
        </w:rPr>
        <w:t>%。具体情况如下：</w:t>
      </w:r>
    </w:p>
    <w:p w14:paraId="3758D28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bookmarkStart w:id="119" w:name="PO_part2A6Amount9"/>
      <w:r>
        <w:rPr>
          <w:rFonts w:hint="eastAsia" w:ascii="Times New Roman" w:hAnsi="Times New Roman" w:eastAsia="仿宋_GB2312"/>
          <w:sz w:val="32"/>
          <w:szCs w:val="32"/>
        </w:rPr>
        <w:t>51.15</w:t>
      </w:r>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万元，与上年预算相比</w:t>
      </w:r>
      <w:bookmarkStart w:id="120" w:name="PO_part2A6Reason1"/>
      <w:r>
        <w:rPr>
          <w:rFonts w:hint="eastAsia" w:ascii="Times New Roman" w:hAnsi="Times New Roman" w:eastAsia="仿宋_GB2312"/>
          <w:sz w:val="32"/>
          <w:szCs w:val="32"/>
        </w:rPr>
        <w:t>减少0.5万元，下降0.97%</w:t>
      </w:r>
      <w:r>
        <w:rPr>
          <w:rFonts w:hint="eastAsia" w:ascii="Times New Roman" w:hAnsi="Times New Roman" w:eastAsia="仿宋_GB2312"/>
          <w:sz w:val="11"/>
          <w:szCs w:val="11"/>
        </w:rPr>
        <w:t xml:space="preserve"> </w:t>
      </w:r>
      <w:bookmarkEnd w:id="120"/>
      <w:r>
        <w:rPr>
          <w:rFonts w:hint="eastAsia" w:ascii="Times New Roman" w:hAnsi="Times New Roman" w:eastAsia="仿宋_GB2312"/>
          <w:sz w:val="32"/>
          <w:szCs w:val="32"/>
        </w:rPr>
        <w:t>；其中：</w:t>
      </w:r>
    </w:p>
    <w:p w14:paraId="67256A0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bookmarkStart w:id="121" w:name="PO_part2A6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万元，与上年预算相比</w:t>
      </w:r>
      <w:bookmarkStart w:id="122" w:name="PO_part2A6Amount15"/>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122"/>
      <w:r>
        <w:rPr>
          <w:rFonts w:hint="eastAsia" w:ascii="Times New Roman" w:hAnsi="Times New Roman" w:eastAsia="仿宋_GB2312"/>
          <w:sz w:val="32"/>
          <w:szCs w:val="32"/>
        </w:rPr>
        <w:t>，主要原因是：</w:t>
      </w:r>
      <w:bookmarkStart w:id="123" w:name="PO_part2A6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w:t>
      </w:r>
    </w:p>
    <w:p w14:paraId="367C015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bookmarkStart w:id="124" w:name="PO_part2A6Amount11"/>
      <w:r>
        <w:rPr>
          <w:rFonts w:hint="eastAsia" w:ascii="Times New Roman" w:hAnsi="Times New Roman" w:eastAsia="仿宋_GB2312"/>
          <w:sz w:val="32"/>
          <w:szCs w:val="32"/>
        </w:rPr>
        <w:t>50.65</w:t>
      </w:r>
      <w:r>
        <w:rPr>
          <w:rFonts w:hint="eastAsia" w:ascii="Times New Roman" w:hAnsi="Times New Roman" w:eastAsia="仿宋_GB2312"/>
          <w:sz w:val="11"/>
          <w:szCs w:val="11"/>
        </w:rPr>
        <w:t xml:space="preserve"> </w:t>
      </w:r>
      <w:bookmarkEnd w:id="124"/>
      <w:r>
        <w:rPr>
          <w:rFonts w:hint="eastAsia" w:ascii="Times New Roman" w:hAnsi="Times New Roman" w:eastAsia="仿宋_GB2312"/>
          <w:sz w:val="32"/>
          <w:szCs w:val="32"/>
        </w:rPr>
        <w:t>万元。其中：</w:t>
      </w:r>
    </w:p>
    <w:p w14:paraId="016FED4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bookmarkStart w:id="125" w:name="PO_part2A6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万元，与上年预算相比</w:t>
      </w:r>
      <w:bookmarkStart w:id="126" w:name="PO_part2A6Amount16"/>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，主要原因是：</w:t>
      </w:r>
      <w:bookmarkStart w:id="127" w:name="PO_part2A6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w:t>
      </w:r>
    </w:p>
    <w:p w14:paraId="2B7F2F8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28" w:name="PO_part2A6Amount13"/>
      <w:r>
        <w:rPr>
          <w:rFonts w:hint="eastAsia" w:ascii="Times New Roman" w:hAnsi="Times New Roman" w:eastAsia="仿宋_GB2312"/>
          <w:sz w:val="32"/>
          <w:szCs w:val="32"/>
        </w:rPr>
        <w:t>50.65</w:t>
      </w:r>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万元，与上年预算相比</w:t>
      </w:r>
      <w:bookmarkStart w:id="129" w:name="PO_part2A6Amount17"/>
      <w:r>
        <w:rPr>
          <w:rFonts w:hint="eastAsia" w:ascii="Times New Roman" w:hAnsi="Times New Roman" w:eastAsia="仿宋_GB2312"/>
          <w:sz w:val="32"/>
          <w:szCs w:val="32"/>
        </w:rPr>
        <w:t>持平</w:t>
      </w:r>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，主要原因是：</w:t>
      </w:r>
      <w:bookmarkStart w:id="130" w:name="PO_part2A6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w:t>
      </w:r>
    </w:p>
    <w:p w14:paraId="1B07B99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3．公务接待费预算支出0.5万元，与上年预算相比</w:t>
      </w:r>
      <w:bookmarkStart w:id="131" w:name="PO_part2A6Amount18"/>
      <w:r>
        <w:rPr>
          <w:rFonts w:hint="eastAsia" w:ascii="Times New Roman" w:hAnsi="Times New Roman" w:eastAsia="仿宋_GB2312"/>
          <w:sz w:val="32"/>
          <w:szCs w:val="32"/>
        </w:rPr>
        <w:t>减少0.5万元，下降50%</w:t>
      </w:r>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，主要原因是：</w:t>
      </w:r>
      <w:bookmarkStart w:id="132" w:name="PO_part2A6Reason5"/>
      <w:r>
        <w:rPr>
          <w:rFonts w:hint="eastAsia" w:ascii="Times New Roman" w:hAnsi="Times New Roman" w:eastAsia="仿宋_GB2312"/>
          <w:sz w:val="32"/>
          <w:szCs w:val="32"/>
        </w:rPr>
        <w:t>按照中央“八项规定”要求，厉行节约，严格控制“三公”经费支出，减少因公出国（境）团数和人数，压缩公务接待费</w:t>
      </w:r>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w:t>
      </w:r>
    </w:p>
    <w:p w14:paraId="71940AD4">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726E47A9">
      <w:pPr>
        <w:pStyle w:val="5"/>
        <w:spacing w:line="560" w:lineRule="exact"/>
        <w:ind w:left="17" w:leftChars="8" w:firstLine="640" w:firstLineChars="200"/>
        <w:rPr>
          <w:rFonts w:ascii="Times New Roman" w:hAnsi="Times New Roman" w:eastAsia="仿宋_GB2312" w:cstheme="minorBidi"/>
          <w:sz w:val="32"/>
          <w:szCs w:val="32"/>
          <w:lang w:eastAsia="zh-CN"/>
        </w:rPr>
      </w:pPr>
      <w:bookmarkStart w:id="133" w:name="PO_part2A7Amount1"/>
      <w:r>
        <w:rPr>
          <w:rFonts w:hint="eastAsia" w:ascii="Times New Roman" w:hAnsi="Times New Roman" w:eastAsia="仿宋_GB2312" w:cstheme="minorBidi"/>
          <w:sz w:val="32"/>
          <w:szCs w:val="32"/>
          <w:lang w:eastAsia="zh-CN"/>
        </w:rPr>
        <w:t>内蒙古自治区特种设备检验研究院通辽分院</w:t>
      </w:r>
      <w:r>
        <w:rPr>
          <w:rFonts w:hint="eastAsia" w:ascii="Times New Roman" w:hAnsi="Times New Roman" w:eastAsia="仿宋_GB2312" w:cstheme="minorBidi"/>
          <w:sz w:val="11"/>
          <w:szCs w:val="11"/>
          <w:lang w:eastAsia="zh-CN"/>
        </w:rPr>
        <w:t xml:space="preserve"> </w:t>
      </w:r>
      <w:bookmarkEnd w:id="133"/>
      <w:r>
        <w:rPr>
          <w:rFonts w:hint="eastAsia" w:ascii="Times New Roman" w:hAnsi="Times New Roman" w:eastAsia="仿宋_GB2312" w:cstheme="minorBidi"/>
          <w:sz w:val="32"/>
          <w:szCs w:val="32"/>
          <w:lang w:eastAsia="zh-CN"/>
        </w:rPr>
        <w:t>2026年度政府性基金支出预算支出</w:t>
      </w:r>
      <w:bookmarkStart w:id="134" w:name="PO_part2A7Amount2"/>
      <w:r>
        <w:rPr>
          <w:rFonts w:hint="eastAsia" w:ascii="Times New Roman" w:hAnsi="Times New Roman" w:eastAsia="仿宋_GB2312" w:cstheme="minorBidi"/>
          <w:sz w:val="32"/>
          <w:szCs w:val="32"/>
          <w:lang w:eastAsia="zh-CN"/>
        </w:rPr>
        <w:t>0.00</w:t>
      </w:r>
      <w:r>
        <w:rPr>
          <w:rFonts w:hint="eastAsia" w:ascii="Times New Roman" w:hAnsi="Times New Roman" w:eastAsia="仿宋_GB2312" w:cstheme="minorBidi"/>
          <w:sz w:val="11"/>
          <w:szCs w:val="11"/>
          <w:lang w:eastAsia="zh-CN"/>
        </w:rPr>
        <w:t xml:space="preserve"> </w:t>
      </w:r>
      <w:bookmarkEnd w:id="134"/>
      <w:r>
        <w:rPr>
          <w:rFonts w:hint="eastAsia" w:ascii="Times New Roman" w:hAnsi="Times New Roman" w:eastAsia="仿宋_GB2312" w:cstheme="minorBidi"/>
          <w:sz w:val="32"/>
          <w:szCs w:val="32"/>
          <w:lang w:eastAsia="zh-CN"/>
        </w:rPr>
        <w:t>万元。与上年预算相比</w:t>
      </w:r>
      <w:bookmarkStart w:id="135" w:name="PO_part2A7Reason1"/>
      <w:r>
        <w:rPr>
          <w:rFonts w:hint="eastAsia" w:ascii="Times New Roman" w:hAnsi="Times New Roman" w:eastAsia="仿宋_GB2312" w:cstheme="minorBidi"/>
          <w:sz w:val="32"/>
          <w:szCs w:val="32"/>
          <w:lang w:eastAsia="zh-CN"/>
        </w:rPr>
        <w:t>同为0万元，不可比</w:t>
      </w:r>
      <w:r>
        <w:rPr>
          <w:rFonts w:hint="eastAsia" w:ascii="Times New Roman" w:hAnsi="Times New Roman" w:eastAsia="仿宋_GB2312" w:cstheme="minorBidi"/>
          <w:sz w:val="11"/>
          <w:szCs w:val="11"/>
          <w:lang w:eastAsia="zh-CN"/>
        </w:rPr>
        <w:t xml:space="preserve"> </w:t>
      </w:r>
      <w:bookmarkEnd w:id="135"/>
      <w:r>
        <w:rPr>
          <w:rFonts w:hint="eastAsia" w:ascii="Times New Roman" w:hAnsi="Times New Roman" w:eastAsia="仿宋_GB2312" w:cstheme="minorBidi"/>
          <w:sz w:val="32"/>
          <w:szCs w:val="32"/>
          <w:lang w:eastAsia="zh-CN"/>
        </w:rPr>
        <w:t>，主要原因：</w:t>
      </w:r>
      <w:bookmarkStart w:id="136" w:name="PO_part2A7Reason2"/>
      <w:r>
        <w:rPr>
          <w:rFonts w:hint="eastAsia" w:ascii="Times New Roman" w:hAnsi="Times New Roman" w:eastAsia="仿宋_GB2312" w:cstheme="minorBidi"/>
          <w:sz w:val="32"/>
          <w:szCs w:val="32"/>
          <w:lang w:eastAsia="zh-CN"/>
        </w:rPr>
        <w:t>我单位不涉及政府性基金预算</w:t>
      </w:r>
      <w:r>
        <w:rPr>
          <w:rFonts w:hint="eastAsia" w:ascii="Times New Roman" w:hAnsi="Times New Roman" w:eastAsia="仿宋_GB2312" w:cstheme="minorBidi"/>
          <w:sz w:val="11"/>
          <w:szCs w:val="11"/>
          <w:lang w:eastAsia="zh-CN"/>
        </w:rPr>
        <w:t xml:space="preserve"> </w:t>
      </w:r>
      <w:bookmarkEnd w:id="136"/>
      <w:r>
        <w:rPr>
          <w:rFonts w:hint="eastAsia" w:ascii="Times New Roman" w:hAnsi="Times New Roman" w:eastAsia="仿宋_GB2312" w:cstheme="minorBidi"/>
          <w:sz w:val="32"/>
          <w:szCs w:val="32"/>
          <w:lang w:eastAsia="zh-CN"/>
        </w:rPr>
        <w:t>。</w:t>
      </w:r>
      <w:bookmarkStart w:id="137" w:name="PO_part2A7Reason3"/>
      <w:r>
        <w:rPr>
          <w:rFonts w:hint="eastAsia" w:ascii="Times New Roman" w:hAnsi="Times New Roman" w:eastAsia="仿宋_GB2312" w:cstheme="minorBidi"/>
          <w:sz w:val="32"/>
          <w:szCs w:val="32"/>
          <w:lang w:eastAsia="zh-CN"/>
        </w:rPr>
        <w:t xml:space="preserve"> </w:t>
      </w:r>
    </w:p>
    <w:bookmarkEnd w:id="137"/>
    <w:p w14:paraId="68C9EEEF">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2FD44DCF">
      <w:pPr>
        <w:spacing w:line="560" w:lineRule="exact"/>
        <w:ind w:firstLine="640" w:firstLineChars="200"/>
        <w:rPr>
          <w:rFonts w:ascii="Times New Roman" w:hAnsi="Times New Roman" w:eastAsia="仿宋_GB2312"/>
          <w:sz w:val="32"/>
          <w:szCs w:val="32"/>
        </w:rPr>
      </w:pPr>
      <w:bookmarkStart w:id="138" w:name="PO_part2A8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138"/>
      <w:r>
        <w:rPr>
          <w:rFonts w:hint="eastAsia" w:ascii="Times New Roman" w:hAnsi="Times New Roman" w:eastAsia="仿宋_GB2312"/>
          <w:sz w:val="32"/>
          <w:szCs w:val="32"/>
        </w:rPr>
        <w:t>2026年度国有资本经营预算支出</w:t>
      </w:r>
      <w:bookmarkStart w:id="139" w:name="PO_part2A8Amount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39"/>
      <w:r>
        <w:rPr>
          <w:rFonts w:hint="eastAsia" w:ascii="Times New Roman" w:hAnsi="Times New Roman" w:eastAsia="仿宋_GB2312"/>
          <w:sz w:val="32"/>
          <w:szCs w:val="32"/>
        </w:rPr>
        <w:t>万元。与上年预算相比</w:t>
      </w:r>
      <w:bookmarkStart w:id="140" w:name="PO_part2A8Reason1"/>
      <w:r>
        <w:rPr>
          <w:rFonts w:hint="eastAsia" w:ascii="Times New Roman" w:hAnsi="Times New Roman" w:eastAsia="仿宋_GB2312"/>
          <w:sz w:val="32"/>
          <w:szCs w:val="32"/>
        </w:rPr>
        <w:t>同为0万元，不可比</w:t>
      </w:r>
      <w:r>
        <w:rPr>
          <w:rFonts w:hint="eastAsia" w:ascii="Times New Roman" w:hAnsi="Times New Roman" w:eastAsia="仿宋_GB2312"/>
          <w:sz w:val="11"/>
          <w:szCs w:val="11"/>
        </w:rPr>
        <w:t xml:space="preserve"> </w:t>
      </w:r>
      <w:bookmarkEnd w:id="140"/>
      <w:r>
        <w:rPr>
          <w:rFonts w:hint="eastAsia" w:ascii="Times New Roman" w:hAnsi="Times New Roman" w:eastAsia="仿宋_GB2312"/>
          <w:sz w:val="32"/>
          <w:szCs w:val="32"/>
        </w:rPr>
        <w:t>，主要原因：</w:t>
      </w:r>
      <w:bookmarkStart w:id="141" w:name="PO_part2A8Reason2"/>
      <w:r>
        <w:rPr>
          <w:rFonts w:hint="eastAsia" w:ascii="Times New Roman" w:hAnsi="Times New Roman" w:eastAsia="仿宋_GB2312"/>
          <w:sz w:val="32"/>
          <w:szCs w:val="32"/>
        </w:rPr>
        <w:t>我单位不涉及国有资本经营预算</w:t>
      </w:r>
      <w:r>
        <w:rPr>
          <w:rFonts w:hint="eastAsia" w:ascii="Times New Roman" w:hAnsi="Times New Roman" w:eastAsia="仿宋_GB2312"/>
          <w:sz w:val="15"/>
          <w:szCs w:val="15"/>
        </w:rPr>
        <w:t xml:space="preserve"> </w:t>
      </w:r>
      <w:bookmarkEnd w:id="141"/>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Start w:id="142" w:name="PO_part2A8Reason3"/>
      <w:r>
        <w:rPr>
          <w:rFonts w:hint="eastAsia" w:ascii="Times New Roman" w:hAnsi="Times New Roman" w:eastAsia="仿宋_GB2312"/>
          <w:sz w:val="32"/>
          <w:szCs w:val="32"/>
        </w:rPr>
        <w:t xml:space="preserve"> </w:t>
      </w:r>
    </w:p>
    <w:bookmarkEnd w:id="142"/>
    <w:p w14:paraId="59CDA5E7">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28DF1A8F">
      <w:pPr>
        <w:widowControl/>
        <w:snapToGrid w:val="0"/>
        <w:spacing w:line="600" w:lineRule="exact"/>
        <w:ind w:firstLine="640" w:firstLineChars="200"/>
        <w:rPr>
          <w:rFonts w:ascii="仿宋" w:hAnsi="仿宋" w:eastAsia="仿宋" w:cs="仿宋"/>
          <w:sz w:val="31"/>
          <w:szCs w:val="31"/>
        </w:rPr>
      </w:pPr>
      <w:bookmarkStart w:id="143" w:name="PO_part2A9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143"/>
      <w:r>
        <w:rPr>
          <w:rFonts w:hint="eastAsia" w:ascii="Times New Roman" w:hAnsi="Times New Roman" w:eastAsia="仿宋_GB2312"/>
          <w:sz w:val="32"/>
          <w:szCs w:val="32"/>
        </w:rPr>
        <w:t>2026年度预算安排项目</w:t>
      </w:r>
      <w:bookmarkStart w:id="144" w:name="PO_part2A9Amount2"/>
      <w:r>
        <w:rPr>
          <w:rFonts w:hint="eastAsia" w:ascii="Times New Roman" w:hAnsi="Times New Roman" w:eastAsia="仿宋_GB2312"/>
          <w:sz w:val="32"/>
          <w:szCs w:val="32"/>
        </w:rPr>
        <w:t>4</w:t>
      </w:r>
      <w:r>
        <w:rPr>
          <w:rFonts w:hint="eastAsia" w:ascii="Times New Roman" w:hAnsi="Times New Roman" w:eastAsia="仿宋_GB2312"/>
          <w:sz w:val="11"/>
          <w:szCs w:val="11"/>
        </w:rPr>
        <w:t xml:space="preserve"> </w:t>
      </w:r>
      <w:bookmarkEnd w:id="144"/>
      <w:r>
        <w:rPr>
          <w:rFonts w:hint="eastAsia" w:ascii="Times New Roman" w:hAnsi="Times New Roman" w:eastAsia="仿宋_GB2312"/>
          <w:sz w:val="32"/>
          <w:szCs w:val="32"/>
        </w:rPr>
        <w:t>个，项目支出总金额</w:t>
      </w:r>
      <w:bookmarkStart w:id="145" w:name="PO_part2A9Amount5"/>
      <w:r>
        <w:rPr>
          <w:rFonts w:hint="eastAsia" w:ascii="Times New Roman" w:hAnsi="Times New Roman" w:eastAsia="仿宋_GB2312"/>
          <w:sz w:val="32"/>
          <w:szCs w:val="32"/>
        </w:rPr>
        <w:t>1752.21</w:t>
      </w:r>
      <w:r>
        <w:rPr>
          <w:rFonts w:hint="eastAsia" w:ascii="Times New Roman" w:hAnsi="Times New Roman" w:eastAsia="仿宋_GB2312"/>
          <w:sz w:val="11"/>
          <w:szCs w:val="11"/>
        </w:rPr>
        <w:t xml:space="preserve"> </w:t>
      </w:r>
      <w:bookmarkEnd w:id="145"/>
      <w:r>
        <w:rPr>
          <w:rFonts w:hint="eastAsia" w:ascii="Times New Roman" w:hAnsi="Times New Roman" w:eastAsia="仿宋_GB2312"/>
          <w:sz w:val="32"/>
          <w:szCs w:val="32"/>
        </w:rPr>
        <w:t>万元。其中，财政本年拨款金额581.5万元，财政拨款结转结余</w:t>
      </w:r>
      <w:bookmarkStart w:id="146" w:name="PO_part2A9Amount6"/>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6"/>
      <w:r>
        <w:rPr>
          <w:rFonts w:hint="eastAsia" w:ascii="Times New Roman" w:hAnsi="Times New Roman" w:eastAsia="仿宋_GB2312"/>
          <w:sz w:val="32"/>
          <w:szCs w:val="32"/>
        </w:rPr>
        <w:t>万元，财政专户管理资金</w:t>
      </w:r>
      <w:bookmarkStart w:id="147" w:name="PO_part2A9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7"/>
      <w:r>
        <w:rPr>
          <w:rFonts w:hint="eastAsia" w:ascii="Times New Roman" w:hAnsi="Times New Roman" w:eastAsia="仿宋_GB2312"/>
          <w:sz w:val="32"/>
          <w:szCs w:val="32"/>
        </w:rPr>
        <w:t>万元，单位资金</w:t>
      </w:r>
      <w:bookmarkStart w:id="148" w:name="PO_part2A9Amount9"/>
      <w:r>
        <w:rPr>
          <w:rFonts w:hint="eastAsia" w:ascii="Times New Roman" w:hAnsi="Times New Roman" w:eastAsia="仿宋_GB2312"/>
          <w:sz w:val="32"/>
          <w:szCs w:val="32"/>
        </w:rPr>
        <w:t>1170.71</w:t>
      </w:r>
      <w:r>
        <w:rPr>
          <w:rFonts w:hint="eastAsia" w:ascii="Times New Roman" w:hAnsi="Times New Roman" w:eastAsia="仿宋_GB2312"/>
          <w:sz w:val="11"/>
          <w:szCs w:val="11"/>
        </w:rPr>
        <w:t xml:space="preserve"> </w:t>
      </w:r>
      <w:bookmarkEnd w:id="148"/>
      <w:r>
        <w:rPr>
          <w:rFonts w:hint="eastAsia" w:ascii="Times New Roman" w:hAnsi="Times New Roman" w:eastAsia="仿宋_GB2312"/>
          <w:sz w:val="32"/>
          <w:szCs w:val="32"/>
        </w:rPr>
        <w:t>万元。</w:t>
      </w:r>
    </w:p>
    <w:p w14:paraId="2A67C28C">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13461C7A">
      <w:pPr>
        <w:widowControl/>
        <w:snapToGrid w:val="0"/>
        <w:spacing w:line="600" w:lineRule="exact"/>
        <w:ind w:firstLine="640" w:firstLineChars="200"/>
        <w:rPr>
          <w:rFonts w:ascii="Times New Roman" w:hAnsi="Times New Roman" w:eastAsia="仿宋_GB2312"/>
          <w:sz w:val="32"/>
          <w:szCs w:val="32"/>
        </w:rPr>
      </w:pPr>
      <w:bookmarkStart w:id="149" w:name="PO_part2A10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149"/>
      <w:r>
        <w:rPr>
          <w:rFonts w:hint="eastAsia" w:ascii="Times New Roman" w:hAnsi="Times New Roman" w:eastAsia="仿宋_GB2312"/>
          <w:sz w:val="32"/>
          <w:szCs w:val="32"/>
        </w:rPr>
        <w:t>2026年度机构运行经费预算支出</w:t>
      </w:r>
      <w:bookmarkStart w:id="150" w:name="PO_part2A10Amount2"/>
      <w:r>
        <w:rPr>
          <w:rFonts w:hint="eastAsia" w:ascii="Times New Roman" w:hAnsi="Times New Roman" w:eastAsia="仿宋_GB2312"/>
          <w:sz w:val="32"/>
          <w:szCs w:val="32"/>
        </w:rPr>
        <w:t>0.</w:t>
      </w:r>
      <w:bookmarkEnd w:id="150"/>
      <w:r>
        <w:rPr>
          <w:rFonts w:hint="eastAsia" w:ascii="Times New Roman" w:hAnsi="Times New Roman" w:eastAsia="仿宋_GB2312"/>
          <w:sz w:val="32"/>
          <w:szCs w:val="32"/>
        </w:rPr>
        <w:t>7万元，与上年预算相比</w:t>
      </w:r>
      <w:bookmarkStart w:id="151" w:name="PO_part2A10Reason1"/>
      <w:r>
        <w:rPr>
          <w:rFonts w:hint="eastAsia" w:ascii="Times New Roman" w:hAnsi="Times New Roman" w:eastAsia="仿宋_GB2312"/>
          <w:sz w:val="32"/>
          <w:szCs w:val="32"/>
        </w:rPr>
        <w:t>增加0.05万元，增长7.7</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rPr>
        <w:t>，主要原因是：</w:t>
      </w:r>
      <w:bookmarkStart w:id="152" w:name="PO_part2A10Reason2"/>
      <w:r>
        <w:rPr>
          <w:rFonts w:hint="eastAsia" w:ascii="Times New Roman" w:hAnsi="Times New Roman" w:eastAsia="仿宋_GB2312"/>
          <w:sz w:val="32"/>
          <w:szCs w:val="32"/>
        </w:rPr>
        <w:t>是按照退休人数每人每年270元设定预算，2026年度本单位退休人数增加所以机构运行经费增加0.05万元</w:t>
      </w:r>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w:t>
      </w:r>
    </w:p>
    <w:p w14:paraId="7F4410DB">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3AE6770A">
      <w:pPr>
        <w:widowControl/>
        <w:snapToGrid w:val="0"/>
        <w:spacing w:line="600" w:lineRule="exact"/>
        <w:ind w:firstLine="640" w:firstLineChars="200"/>
        <w:rPr>
          <w:rFonts w:ascii="Times New Roman" w:hAnsi="Times New Roman" w:eastAsia="仿宋_GB2312"/>
          <w:sz w:val="32"/>
          <w:szCs w:val="32"/>
        </w:rPr>
      </w:pPr>
      <w:bookmarkStart w:id="153" w:name="PO_part2A11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rPr>
        <w:t>2026年度政府采购支出预算总额</w:t>
      </w:r>
      <w:bookmarkStart w:id="154" w:name="PO_part2A11Amount2"/>
      <w:r>
        <w:rPr>
          <w:rFonts w:hint="eastAsia" w:ascii="Times New Roman" w:hAnsi="Times New Roman" w:eastAsia="仿宋_GB2312"/>
          <w:sz w:val="32"/>
          <w:szCs w:val="32"/>
        </w:rPr>
        <w:t>1249.62</w:t>
      </w:r>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万元，其中：拟采购货物支出1065.69万元、拟采购工程支出117.14万元、拟购买服务支出</w:t>
      </w:r>
      <w:bookmarkStart w:id="155" w:name="PO_part2A11Amount5"/>
      <w:r>
        <w:rPr>
          <w:rFonts w:hint="eastAsia" w:ascii="Times New Roman" w:hAnsi="Times New Roman" w:eastAsia="仿宋_GB2312"/>
          <w:sz w:val="32"/>
          <w:szCs w:val="32"/>
        </w:rPr>
        <w:t>66.79</w:t>
      </w:r>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rPr>
        <w:t>万元。</w:t>
      </w:r>
    </w:p>
    <w:p w14:paraId="4CE1F9AC">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1608FD3C">
      <w:pPr>
        <w:tabs>
          <w:tab w:val="left" w:pos="740"/>
          <w:tab w:val="left" w:pos="9039"/>
        </w:tabs>
        <w:spacing w:line="600" w:lineRule="exact"/>
        <w:ind w:firstLine="640" w:firstLineChars="200"/>
        <w:rPr>
          <w:rFonts w:ascii="仿宋" w:hAnsi="仿宋" w:eastAsia="仿宋" w:cs="仿宋"/>
          <w:sz w:val="31"/>
          <w:szCs w:val="31"/>
        </w:rPr>
      </w:pPr>
      <w:bookmarkStart w:id="156" w:name="PO_part2A12Amount1"/>
      <w:r>
        <w:rPr>
          <w:rFonts w:hint="eastAsia" w:ascii="Times New Roman" w:hAnsi="Times New Roman" w:eastAsia="仿宋_GB2312"/>
          <w:sz w:val="32"/>
          <w:szCs w:val="32"/>
        </w:rPr>
        <w:t>内蒙古自治区特种设备检验研究院通辽分院</w:t>
      </w:r>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共有车辆</w:t>
      </w:r>
      <w:bookmarkStart w:id="157" w:name="PO_part2A12Amount2"/>
      <w:r>
        <w:rPr>
          <w:rFonts w:hint="eastAsia" w:ascii="Times New Roman" w:hAnsi="Times New Roman" w:eastAsia="仿宋_GB2312"/>
          <w:sz w:val="32"/>
          <w:szCs w:val="32"/>
        </w:rPr>
        <w:t>24</w:t>
      </w:r>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rPr>
        <w:t>辆，其中，一般公务用车</w:t>
      </w:r>
      <w:bookmarkStart w:id="158" w:name="PO_part2A12Amount3"/>
      <w:r>
        <w:rPr>
          <w:rFonts w:hint="eastAsia" w:ascii="Times New Roman" w:hAnsi="Times New Roman" w:eastAsia="仿宋_GB2312"/>
          <w:sz w:val="32"/>
          <w:szCs w:val="32"/>
        </w:rPr>
        <w:t>0</w:t>
      </w:r>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辆、执法执勤用车</w:t>
      </w:r>
      <w:bookmarkStart w:id="159" w:name="PO_part2A12Amount4"/>
      <w:r>
        <w:rPr>
          <w:rFonts w:hint="eastAsia" w:ascii="Times New Roman" w:hAnsi="Times New Roman" w:eastAsia="仿宋_GB2312"/>
          <w:sz w:val="32"/>
          <w:szCs w:val="32"/>
        </w:rPr>
        <w:t>0</w:t>
      </w:r>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rPr>
        <w:t>辆、特种专业技术用车</w:t>
      </w:r>
      <w:bookmarkStart w:id="160" w:name="PO_part2A12Amount5"/>
      <w:r>
        <w:rPr>
          <w:rFonts w:hint="eastAsia" w:ascii="Times New Roman" w:hAnsi="Times New Roman" w:eastAsia="仿宋_GB2312"/>
          <w:sz w:val="32"/>
          <w:szCs w:val="32"/>
        </w:rPr>
        <w:t>23</w:t>
      </w:r>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辆、业务用车</w:t>
      </w:r>
      <w:bookmarkStart w:id="161" w:name="PO_part2A12Amount6"/>
      <w:r>
        <w:rPr>
          <w:rFonts w:hint="eastAsia" w:ascii="Times New Roman" w:hAnsi="Times New Roman" w:eastAsia="仿宋_GB2312"/>
          <w:sz w:val="32"/>
          <w:szCs w:val="32"/>
        </w:rPr>
        <w:t>0</w:t>
      </w:r>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辆、其他用车</w:t>
      </w:r>
      <w:bookmarkStart w:id="162" w:name="PO_part2A12Amount7"/>
      <w:r>
        <w:rPr>
          <w:rFonts w:hint="eastAsia" w:ascii="Times New Roman" w:hAnsi="Times New Roman" w:eastAsia="仿宋_GB2312"/>
          <w:sz w:val="32"/>
          <w:szCs w:val="32"/>
        </w:rPr>
        <w:t>1</w:t>
      </w:r>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辆等。单价50万元（含）以上的通用设备</w:t>
      </w:r>
      <w:bookmarkStart w:id="163" w:name="PO_part2A12Amount8"/>
      <w:r>
        <w:rPr>
          <w:rFonts w:hint="eastAsia" w:ascii="Times New Roman" w:hAnsi="Times New Roman" w:eastAsia="仿宋_GB2312"/>
          <w:sz w:val="32"/>
          <w:szCs w:val="32"/>
        </w:rPr>
        <w:t>0</w:t>
      </w:r>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台（套），单价100万元（含）以上的专用设备</w:t>
      </w:r>
      <w:bookmarkStart w:id="164" w:name="PO_part2A12Amount9"/>
      <w:r>
        <w:rPr>
          <w:rFonts w:hint="eastAsia" w:ascii="Times New Roman" w:hAnsi="Times New Roman" w:eastAsia="仿宋_GB2312"/>
          <w:sz w:val="32"/>
          <w:szCs w:val="32"/>
        </w:rPr>
        <w:t>4</w:t>
      </w:r>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台（套）。</w:t>
      </w:r>
    </w:p>
    <w:p w14:paraId="44C69E12">
      <w:pPr>
        <w:numPr>
          <w:ilvl w:val="0"/>
          <w:numId w:val="3"/>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60AFFBB2">
      <w:pPr>
        <w:pStyle w:val="2"/>
        <w:spacing w:after="0" w:line="600" w:lineRule="exact"/>
        <w:ind w:left="0" w:leftChars="0" w:firstLine="640" w:firstLineChars="200"/>
        <w:jc w:val="both"/>
        <w:rPr>
          <w:rFonts w:hint="default" w:ascii="仿宋" w:hAnsi="仿宋" w:eastAsia="仿宋" w:cs="仿宋"/>
          <w:sz w:val="31"/>
          <w:szCs w:val="31"/>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65" w:name="PO_part2A13Amount1"/>
      <w:r>
        <w:rPr>
          <w:rFonts w:ascii="Times New Roman" w:hAnsi="Times New Roman" w:eastAsia="仿宋_GB2312"/>
          <w:kern w:val="2"/>
          <w:sz w:val="32"/>
          <w:szCs w:val="32"/>
        </w:rPr>
        <w:t>内蒙古自治区特种设备检验研究院通辽分院</w:t>
      </w:r>
      <w:r>
        <w:rPr>
          <w:rFonts w:ascii="Times New Roman" w:hAnsi="Times New Roman" w:eastAsia="仿宋_GB2312"/>
          <w:kern w:val="2"/>
          <w:sz w:val="11"/>
          <w:szCs w:val="11"/>
        </w:rPr>
        <w:t xml:space="preserve"> </w:t>
      </w:r>
      <w:bookmarkEnd w:id="165"/>
      <w:r>
        <w:rPr>
          <w:rFonts w:ascii="Times New Roman" w:hAnsi="Times New Roman" w:eastAsia="仿宋_GB2312"/>
          <w:kern w:val="2"/>
          <w:sz w:val="32"/>
          <w:szCs w:val="32"/>
        </w:rPr>
        <w:t>2026年度填报绩效目标的预算项目</w:t>
      </w:r>
      <w:bookmarkStart w:id="166" w:name="PO_part2A13Amount2"/>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66"/>
      <w:r>
        <w:rPr>
          <w:rFonts w:ascii="Times New Roman" w:hAnsi="Times New Roman" w:eastAsia="仿宋_GB2312"/>
          <w:kern w:val="2"/>
          <w:sz w:val="32"/>
          <w:szCs w:val="32"/>
        </w:rPr>
        <w:t>个，公开项目</w:t>
      </w:r>
      <w:bookmarkStart w:id="167" w:name="PO_part2A13Amount3"/>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67"/>
      <w:r>
        <w:rPr>
          <w:rFonts w:ascii="Times New Roman" w:hAnsi="Times New Roman" w:eastAsia="仿宋_GB2312"/>
          <w:kern w:val="2"/>
          <w:sz w:val="32"/>
          <w:szCs w:val="32"/>
        </w:rPr>
        <w:t>个，公开项目占全部预算项目的100%。公开填报绩效目标的项目预算1752.21万元，占全部项目预算的100%。</w:t>
      </w:r>
    </w:p>
    <w:p w14:paraId="1CB9E7ED">
      <w:pPr>
        <w:spacing w:line="221" w:lineRule="auto"/>
        <w:rPr>
          <w:rFonts w:ascii="仿宋" w:hAnsi="仿宋" w:eastAsia="仿宋" w:cs="仿宋"/>
          <w:sz w:val="36"/>
          <w:szCs w:val="36"/>
        </w:rPr>
      </w:pPr>
    </w:p>
    <w:p w14:paraId="4844BD8E">
      <w:pPr>
        <w:pStyle w:val="4"/>
        <w:tabs>
          <w:tab w:val="left" w:pos="4392"/>
        </w:tabs>
        <w:adjustRightInd/>
        <w:snapToGrid/>
        <w:spacing w:before="0" w:after="0" w:line="600" w:lineRule="exact"/>
        <w:ind w:firstLine="0" w:firstLineChars="0"/>
        <w:jc w:val="center"/>
        <w:rPr>
          <w:rFonts w:ascii="黑体" w:hAnsi="黑体" w:eastAsia="黑体" w:cs="黑体"/>
          <w:b w:val="0"/>
          <w:bCs w:val="0"/>
          <w:sz w:val="36"/>
          <w:szCs w:val="36"/>
        </w:rPr>
      </w:pPr>
      <w:bookmarkStart w:id="168" w:name="_Toc15573"/>
      <w:r>
        <w:rPr>
          <w:rFonts w:hint="eastAsia" w:ascii="黑体" w:hAnsi="黑体" w:eastAsia="黑体" w:cs="黑体"/>
          <w:b w:val="0"/>
          <w:bCs w:val="0"/>
          <w:sz w:val="36"/>
          <w:szCs w:val="36"/>
        </w:rPr>
        <w:t>第三部分  名词解释</w:t>
      </w:r>
      <w:bookmarkEnd w:id="168"/>
    </w:p>
    <w:p w14:paraId="7EA9CB9B">
      <w:pPr>
        <w:rPr>
          <w:rFonts w:ascii="Times New Roman" w:hAnsi="Times New Roman" w:cs="Times New Roman"/>
          <w:sz w:val="36"/>
          <w:szCs w:val="44"/>
        </w:rPr>
      </w:pPr>
    </w:p>
    <w:p w14:paraId="43C4DDC7">
      <w:pPr>
        <w:spacing w:line="600" w:lineRule="exact"/>
        <w:ind w:firstLine="643" w:firstLineChars="200"/>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0732B08E">
      <w:pPr>
        <w:spacing w:line="600" w:lineRule="exact"/>
        <w:ind w:firstLine="643" w:firstLineChars="200"/>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4ED1F9BB">
      <w:pPr>
        <w:ind w:firstLine="643" w:firstLineChars="200"/>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61A7CD3A">
      <w:pPr>
        <w:spacing w:line="560" w:lineRule="exact"/>
        <w:ind w:firstLine="643" w:firstLineChars="200"/>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6E002FFC">
      <w:pPr>
        <w:spacing w:line="560" w:lineRule="exact"/>
        <w:ind w:firstLine="643" w:firstLineChars="200"/>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2197F416">
      <w:pPr>
        <w:spacing w:line="560" w:lineRule="exact"/>
        <w:ind w:firstLine="643" w:firstLineChars="200"/>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37E0CB2D">
      <w:pPr>
        <w:spacing w:line="600" w:lineRule="exact"/>
        <w:ind w:firstLine="643" w:firstLineChars="200"/>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5E494FD4">
      <w:pPr>
        <w:spacing w:line="560" w:lineRule="exact"/>
        <w:ind w:firstLine="643" w:firstLineChars="200"/>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1B76F8AF">
      <w:pPr>
        <w:spacing w:line="600" w:lineRule="exact"/>
        <w:ind w:firstLine="643" w:firstLineChars="200"/>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38035FAB">
      <w:pPr>
        <w:spacing w:line="600" w:lineRule="exact"/>
        <w:ind w:firstLine="643" w:firstLineChars="200"/>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2F22C35A">
      <w:pPr>
        <w:spacing w:line="560" w:lineRule="exact"/>
        <w:ind w:firstLine="643" w:firstLineChars="200"/>
      </w:pPr>
      <w:r>
        <w:rPr>
          <w:rFonts w:hint="eastAsia" w:eastAsia="仿宋_GB2312"/>
          <w:b/>
          <w:sz w:val="32"/>
          <w:szCs w:val="32"/>
        </w:rPr>
        <w:t>十一、住房保障支出（类）支出：</w:t>
      </w:r>
      <w:r>
        <w:rPr>
          <w:rFonts w:hint="eastAsia" w:eastAsia="仿宋_GB2312"/>
          <w:bCs/>
          <w:sz w:val="32"/>
          <w:szCs w:val="32"/>
        </w:rPr>
        <w:t xml:space="preserve">指机关及直属事业单位按照国家政策规定用于住房改革方面的支出。 </w:t>
      </w:r>
    </w:p>
    <w:p w14:paraId="75A6BF33">
      <w:pPr>
        <w:spacing w:line="600" w:lineRule="exact"/>
        <w:ind w:firstLine="643" w:firstLineChars="200"/>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指单位按照国家政策规定用于医疗方面的支出。</w:t>
      </w:r>
    </w:p>
    <w:p w14:paraId="56FC5874">
      <w:pPr>
        <w:spacing w:line="600" w:lineRule="exact"/>
        <w:ind w:firstLine="643" w:firstLineChars="200"/>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4F5D756D">
      <w:pPr>
        <w:spacing w:line="600" w:lineRule="exact"/>
        <w:ind w:firstLine="643" w:firstLineChars="200"/>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1E5C9F3B">
      <w:pPr>
        <w:spacing w:line="600" w:lineRule="exact"/>
        <w:ind w:firstLine="643" w:firstLineChars="200"/>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645D76D4">
      <w:pPr>
        <w:spacing w:line="600" w:lineRule="exact"/>
        <w:ind w:firstLine="643" w:firstLineChars="200"/>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72C73AD7">
      <w:pPr>
        <w:spacing w:line="600" w:lineRule="exact"/>
        <w:ind w:firstLine="643" w:firstLineChars="200"/>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27DBF48E">
      <w:pPr>
        <w:spacing w:line="600" w:lineRule="exact"/>
        <w:ind w:firstLine="643" w:firstLineChars="200"/>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189A573F">
      <w:pPr>
        <w:spacing w:line="600" w:lineRule="exact"/>
        <w:ind w:firstLine="643" w:firstLineChars="200"/>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1A16B52D">
      <w:pPr>
        <w:spacing w:line="600" w:lineRule="exact"/>
        <w:ind w:firstLine="643" w:firstLineChars="200"/>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C1F9415">
      <w:pPr>
        <w:rPr>
          <w:rFonts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4522E775">
      <w:pPr>
        <w:spacing w:line="600" w:lineRule="exact"/>
        <w:jc w:val="center"/>
        <w:outlineLvl w:val="1"/>
        <w:rPr>
          <w:rFonts w:ascii="方正小标宋简体" w:hAnsi="方正小标宋简体" w:eastAsia="方正小标宋简体" w:cs="方正小标宋简体"/>
          <w:sz w:val="36"/>
          <w:szCs w:val="36"/>
        </w:rPr>
      </w:pPr>
      <w:bookmarkStart w:id="169" w:name="_Toc21331"/>
      <w:r>
        <w:rPr>
          <w:rFonts w:hint="eastAsia" w:ascii="黑体" w:hAnsi="黑体" w:eastAsia="黑体" w:cs="黑体"/>
          <w:sz w:val="36"/>
          <w:szCs w:val="36"/>
        </w:rPr>
        <w:t>第四部分  预算公开联系方式及信息反馈渠道</w:t>
      </w:r>
      <w:bookmarkEnd w:id="169"/>
    </w:p>
    <w:p w14:paraId="5669855E">
      <w:pPr>
        <w:pStyle w:val="2"/>
        <w:ind w:left="0" w:leftChars="0" w:firstLine="0"/>
        <w:rPr>
          <w:rFonts w:hint="default"/>
        </w:rPr>
      </w:pPr>
    </w:p>
    <w:p w14:paraId="13C02E00">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757BA31E">
      <w:pPr>
        <w:snapToGrid w:val="0"/>
        <w:spacing w:line="600" w:lineRule="exact"/>
        <w:ind w:firstLine="640" w:firstLineChars="200"/>
        <w:rPr>
          <w:rFonts w:ascii="仿宋_GB2312" w:hAnsi="仿宋_GB2312" w:eastAsia="仿宋_GB2312" w:cs="仿宋_GB2312"/>
          <w:sz w:val="2"/>
          <w:szCs w:val="2"/>
        </w:rPr>
      </w:pPr>
      <w:r>
        <w:rPr>
          <w:rFonts w:hint="eastAsia" w:ascii="仿宋_GB2312" w:hAnsi="仿宋_GB2312" w:eastAsia="仿宋_GB2312" w:cs="仿宋_GB2312"/>
          <w:sz w:val="32"/>
          <w:szCs w:val="32"/>
        </w:rPr>
        <w:t>联系人：</w:t>
      </w:r>
      <w:bookmarkStart w:id="170" w:name="PO_part1A1"/>
      <w:r>
        <w:rPr>
          <w:rFonts w:hint="eastAsia" w:ascii="仿宋_GB2312" w:hAnsi="仿宋_GB2312" w:eastAsia="仿宋_GB2312" w:cs="仿宋_GB2312"/>
          <w:sz w:val="32"/>
          <w:szCs w:val="32"/>
        </w:rPr>
        <w:t>吴桐</w:t>
      </w:r>
      <w:r>
        <w:rPr>
          <w:rFonts w:hint="eastAsia" w:ascii="仿宋_GB2312" w:hAnsi="仿宋_GB2312" w:eastAsia="仿宋_GB2312" w:cs="仿宋_GB2312"/>
          <w:sz w:val="11"/>
          <w:szCs w:val="11"/>
        </w:rPr>
        <w:t xml:space="preserve"> </w:t>
      </w:r>
      <w:bookmarkEnd w:id="170"/>
      <w:r>
        <w:rPr>
          <w:rFonts w:hint="eastAsia" w:ascii="仿宋_GB2312" w:hAnsi="仿宋_GB2312" w:eastAsia="仿宋_GB2312" w:cs="仿宋_GB2312"/>
          <w:sz w:val="32"/>
          <w:szCs w:val="32"/>
        </w:rPr>
        <w:t xml:space="preserve">       联系电话：</w:t>
      </w:r>
      <w:bookmarkStart w:id="171" w:name="PO_part1A2"/>
      <w:r>
        <w:rPr>
          <w:rFonts w:hint="eastAsia" w:ascii="仿宋_GB2312" w:hAnsi="仿宋_GB2312" w:eastAsia="仿宋_GB2312" w:cs="仿宋_GB2312"/>
          <w:sz w:val="32"/>
          <w:szCs w:val="32"/>
        </w:rPr>
        <w:t>17547590412</w:t>
      </w:r>
    </w:p>
    <w:bookmarkEnd w:id="171"/>
    <w:p w14:paraId="1D5814F8">
      <w:pPr>
        <w:pStyle w:val="2"/>
        <w:rPr>
          <w:rFonts w:hint="default" w:ascii="仿宋_GB2312" w:hAnsi="仿宋_GB2312" w:eastAsia="仿宋_GB2312" w:cs="仿宋_GB2312"/>
          <w:sz w:val="32"/>
          <w:szCs w:val="32"/>
        </w:rPr>
      </w:pPr>
    </w:p>
    <w:p w14:paraId="23F8C924">
      <w:pPr>
        <w:spacing w:line="600" w:lineRule="exact"/>
        <w:jc w:val="center"/>
        <w:outlineLvl w:val="1"/>
        <w:rPr>
          <w:rFonts w:ascii="方正小标宋简体" w:hAnsi="方正小标宋简体" w:eastAsia="方正小标宋简体" w:cs="方正小标宋简体"/>
          <w:sz w:val="36"/>
          <w:szCs w:val="36"/>
        </w:rPr>
      </w:pPr>
      <w:r>
        <w:rPr>
          <w:rFonts w:hint="eastAsia" w:ascii="黑体" w:hAnsi="黑体" w:eastAsia="黑体" w:cs="黑体"/>
          <w:sz w:val="36"/>
          <w:szCs w:val="36"/>
        </w:rPr>
        <w:t>第五部分2026年度单位预算表</w:t>
      </w:r>
    </w:p>
    <w:p w14:paraId="354A19B4">
      <w:pPr>
        <w:pStyle w:val="2"/>
        <w:ind w:firstLine="0"/>
        <w:rPr>
          <w:rFonts w:hint="default"/>
        </w:rPr>
      </w:pPr>
    </w:p>
    <w:p w14:paraId="6141855E">
      <w:pPr>
        <w:pStyle w:val="5"/>
        <w:spacing w:line="360" w:lineRule="auto"/>
        <w:ind w:firstLine="640" w:firstLineChars="200"/>
        <w:jc w:val="left"/>
        <w:rPr>
          <w:rFonts w:ascii="仿宋" w:hAnsi="仿宋" w:eastAsia="仿宋" w:cs="仿宋"/>
          <w:sz w:val="32"/>
          <w:szCs w:val="32"/>
          <w:lang w:eastAsia="zh-CN"/>
        </w:rPr>
      </w:pPr>
      <w:r>
        <w:rPr>
          <w:rFonts w:hint="eastAsia" w:ascii="仿宋" w:hAnsi="仿宋" w:eastAsia="仿宋" w:cs="仿宋"/>
          <w:sz w:val="32"/>
          <w:szCs w:val="32"/>
          <w:lang w:eastAsia="zh-CN"/>
        </w:rPr>
        <w:t>一、收支总表</w:t>
      </w:r>
    </w:p>
    <w:p w14:paraId="2C9A463E">
      <w:pPr>
        <w:pStyle w:val="5"/>
        <w:spacing w:line="360" w:lineRule="auto"/>
        <w:ind w:firstLine="640" w:firstLineChars="200"/>
        <w:jc w:val="left"/>
        <w:rPr>
          <w:rFonts w:ascii="仿宋" w:hAnsi="仿宋" w:eastAsia="仿宋" w:cs="仿宋"/>
          <w:sz w:val="32"/>
          <w:szCs w:val="32"/>
          <w:lang w:eastAsia="zh-CN"/>
        </w:rPr>
      </w:pPr>
      <w:r>
        <w:rPr>
          <w:rFonts w:hint="eastAsia" w:ascii="仿宋" w:hAnsi="仿宋" w:eastAsia="仿宋" w:cs="仿宋"/>
          <w:sz w:val="32"/>
          <w:szCs w:val="32"/>
          <w:lang w:eastAsia="zh-CN"/>
        </w:rPr>
        <w:t>二、收入总表</w:t>
      </w:r>
    </w:p>
    <w:p w14:paraId="7BEA929F">
      <w:pPr>
        <w:pStyle w:val="5"/>
        <w:spacing w:line="360" w:lineRule="auto"/>
        <w:ind w:firstLine="608" w:firstLineChars="200"/>
        <w:jc w:val="left"/>
        <w:rPr>
          <w:rFonts w:ascii="仿宋" w:hAnsi="仿宋" w:eastAsia="仿宋" w:cs="仿宋"/>
          <w:sz w:val="32"/>
          <w:szCs w:val="32"/>
          <w:lang w:eastAsia="zh-CN"/>
        </w:rPr>
      </w:pPr>
      <w:r>
        <w:rPr>
          <w:rFonts w:hint="eastAsia" w:ascii="仿宋" w:hAnsi="仿宋" w:eastAsia="仿宋" w:cs="仿宋"/>
          <w:w w:val="95"/>
          <w:sz w:val="32"/>
          <w:szCs w:val="32"/>
          <w:lang w:eastAsia="zh-CN"/>
        </w:rPr>
        <w:t>三、支出总表</w:t>
      </w:r>
    </w:p>
    <w:p w14:paraId="25062E7D">
      <w:pPr>
        <w:pStyle w:val="5"/>
        <w:spacing w:line="360" w:lineRule="auto"/>
        <w:ind w:firstLine="608" w:firstLineChars="200"/>
        <w:jc w:val="left"/>
        <w:rPr>
          <w:rFonts w:ascii="仿宋" w:hAnsi="仿宋" w:eastAsia="仿宋" w:cs="仿宋"/>
          <w:sz w:val="32"/>
          <w:szCs w:val="32"/>
          <w:lang w:eastAsia="zh-CN"/>
        </w:rPr>
      </w:pPr>
      <w:r>
        <w:rPr>
          <w:rFonts w:hint="eastAsia" w:ascii="仿宋" w:hAnsi="仿宋" w:eastAsia="仿宋" w:cs="仿宋"/>
          <w:w w:val="95"/>
          <w:sz w:val="32"/>
          <w:szCs w:val="32"/>
          <w:lang w:eastAsia="zh-CN"/>
        </w:rPr>
        <w:t>四、财政拨款收支总表</w:t>
      </w:r>
    </w:p>
    <w:p w14:paraId="6082516A">
      <w:pPr>
        <w:pStyle w:val="5"/>
        <w:spacing w:line="360" w:lineRule="auto"/>
        <w:ind w:firstLine="608" w:firstLineChars="200"/>
        <w:jc w:val="left"/>
        <w:rPr>
          <w:rFonts w:ascii="仿宋" w:hAnsi="仿宋" w:eastAsia="仿宋" w:cs="仿宋"/>
          <w:sz w:val="32"/>
          <w:szCs w:val="32"/>
          <w:lang w:eastAsia="zh-CN"/>
        </w:rPr>
      </w:pPr>
      <w:r>
        <w:rPr>
          <w:rFonts w:hint="eastAsia" w:ascii="仿宋" w:hAnsi="仿宋" w:eastAsia="仿宋" w:cs="仿宋"/>
          <w:w w:val="95"/>
          <w:sz w:val="32"/>
          <w:szCs w:val="32"/>
          <w:lang w:eastAsia="zh-CN"/>
        </w:rPr>
        <w:t>五、一般公共预算支出表</w:t>
      </w:r>
    </w:p>
    <w:p w14:paraId="3BC2B418">
      <w:pPr>
        <w:pStyle w:val="5"/>
        <w:spacing w:line="360" w:lineRule="auto"/>
        <w:ind w:firstLine="608" w:firstLineChars="200"/>
        <w:jc w:val="left"/>
        <w:rPr>
          <w:rFonts w:ascii="仿宋" w:hAnsi="仿宋" w:eastAsia="仿宋" w:cs="仿宋"/>
          <w:w w:val="95"/>
          <w:sz w:val="32"/>
          <w:szCs w:val="32"/>
          <w:lang w:eastAsia="zh-CN"/>
        </w:rPr>
      </w:pPr>
      <w:r>
        <w:rPr>
          <w:rFonts w:hint="eastAsia" w:ascii="仿宋" w:hAnsi="仿宋" w:eastAsia="仿宋" w:cs="仿宋"/>
          <w:w w:val="95"/>
          <w:sz w:val="32"/>
          <w:szCs w:val="32"/>
          <w:lang w:eastAsia="zh-CN"/>
        </w:rPr>
        <w:t>六、一般公共预算基本支出表</w:t>
      </w:r>
    </w:p>
    <w:p w14:paraId="742AE1FB">
      <w:pPr>
        <w:pStyle w:val="5"/>
        <w:spacing w:line="360" w:lineRule="auto"/>
        <w:ind w:firstLine="608" w:firstLineChars="200"/>
        <w:jc w:val="left"/>
        <w:rPr>
          <w:rFonts w:ascii="仿宋" w:hAnsi="仿宋" w:eastAsia="仿宋" w:cs="仿宋"/>
          <w:w w:val="95"/>
          <w:sz w:val="32"/>
          <w:szCs w:val="32"/>
          <w:lang w:eastAsia="zh-CN"/>
        </w:rPr>
      </w:pPr>
      <w:r>
        <w:rPr>
          <w:rFonts w:hint="eastAsia" w:ascii="仿宋" w:hAnsi="仿宋" w:eastAsia="仿宋" w:cs="仿宋"/>
          <w:w w:val="95"/>
          <w:sz w:val="32"/>
          <w:szCs w:val="32"/>
          <w:lang w:eastAsia="zh-CN"/>
        </w:rPr>
        <w:t>七、一般公共预算“三公”经费支出表</w:t>
      </w:r>
    </w:p>
    <w:p w14:paraId="5C75A80D">
      <w:pPr>
        <w:pStyle w:val="5"/>
        <w:spacing w:line="360" w:lineRule="auto"/>
        <w:ind w:firstLine="608" w:firstLineChars="200"/>
        <w:jc w:val="left"/>
        <w:rPr>
          <w:rFonts w:ascii="仿宋" w:hAnsi="仿宋" w:eastAsia="仿宋" w:cs="仿宋"/>
          <w:w w:val="95"/>
          <w:sz w:val="32"/>
          <w:szCs w:val="32"/>
          <w:lang w:eastAsia="zh-CN"/>
        </w:rPr>
      </w:pPr>
      <w:r>
        <w:rPr>
          <w:rFonts w:hint="eastAsia" w:ascii="仿宋" w:hAnsi="仿宋" w:eastAsia="仿宋" w:cs="仿宋"/>
          <w:w w:val="95"/>
          <w:sz w:val="32"/>
          <w:szCs w:val="32"/>
          <w:lang w:eastAsia="zh-CN"/>
        </w:rPr>
        <w:t>八、政府性基金预算支出表</w:t>
      </w:r>
    </w:p>
    <w:p w14:paraId="4F12C690">
      <w:pPr>
        <w:pStyle w:val="5"/>
        <w:ind w:firstLine="640" w:firstLineChars="200"/>
        <w:jc w:val="left"/>
        <w:rPr>
          <w:rFonts w:ascii="仿宋" w:hAnsi="仿宋" w:eastAsia="仿宋" w:cs="仿宋"/>
          <w:sz w:val="32"/>
          <w:szCs w:val="32"/>
          <w:lang w:eastAsia="zh-CN"/>
        </w:rPr>
      </w:pPr>
      <w:r>
        <w:rPr>
          <w:rFonts w:hint="eastAsia" w:ascii="仿宋" w:hAnsi="仿宋" w:eastAsia="仿宋" w:cs="仿宋"/>
          <w:sz w:val="32"/>
          <w:szCs w:val="32"/>
          <w:lang w:eastAsia="zh-CN"/>
        </w:rPr>
        <w:t>九、国有资本经营预算支出表</w:t>
      </w:r>
    </w:p>
    <w:p w14:paraId="4098A0A9">
      <w:pPr>
        <w:pStyle w:val="5"/>
        <w:spacing w:line="360" w:lineRule="auto"/>
        <w:ind w:firstLine="640" w:firstLineChars="200"/>
        <w:jc w:val="left"/>
        <w:rPr>
          <w:rFonts w:ascii="仿宋" w:hAnsi="仿宋" w:eastAsia="仿宋" w:cs="仿宋"/>
          <w:sz w:val="32"/>
          <w:szCs w:val="32"/>
          <w:lang w:eastAsia="zh-CN"/>
        </w:rPr>
      </w:pPr>
      <w:r>
        <w:rPr>
          <w:rFonts w:hint="eastAsia" w:ascii="仿宋" w:hAnsi="仿宋" w:eastAsia="仿宋" w:cs="仿宋"/>
          <w:sz w:val="32"/>
          <w:szCs w:val="32"/>
          <w:lang w:eastAsia="zh-CN"/>
        </w:rPr>
        <w:t>十、项目支出表</w:t>
      </w:r>
    </w:p>
    <w:p w14:paraId="7C99A92D">
      <w:pPr>
        <w:pStyle w:val="5"/>
        <w:spacing w:line="360" w:lineRule="auto"/>
        <w:ind w:firstLine="640" w:firstLineChars="200"/>
        <w:jc w:val="left"/>
        <w:rPr>
          <w:rFonts w:ascii="仿宋" w:hAnsi="仿宋" w:eastAsia="仿宋" w:cs="仿宋"/>
          <w:sz w:val="32"/>
          <w:szCs w:val="32"/>
          <w:lang w:eastAsia="zh-CN"/>
        </w:rPr>
      </w:pPr>
      <w:r>
        <w:rPr>
          <w:rFonts w:hint="eastAsia" w:ascii="仿宋" w:hAnsi="仿宋" w:eastAsia="仿宋" w:cs="仿宋"/>
          <w:sz w:val="32"/>
          <w:szCs w:val="32"/>
          <w:lang w:eastAsia="zh-CN"/>
        </w:rPr>
        <w:t>十一、项目绩效目标表</w:t>
      </w:r>
    </w:p>
    <w:p w14:paraId="383F1568">
      <w:pPr>
        <w:pStyle w:val="5"/>
        <w:spacing w:line="360" w:lineRule="auto"/>
        <w:ind w:firstLine="608" w:firstLineChars="200"/>
        <w:jc w:val="left"/>
        <w:rPr>
          <w:rFonts w:ascii="仿宋" w:hAnsi="仿宋" w:eastAsia="仿宋" w:cs="仿宋"/>
          <w:sz w:val="32"/>
          <w:szCs w:val="32"/>
          <w:lang w:eastAsia="zh-CN"/>
        </w:rPr>
      </w:pPr>
      <w:r>
        <w:rPr>
          <w:rFonts w:hint="eastAsia" w:ascii="仿宋" w:hAnsi="仿宋" w:eastAsia="仿宋" w:cs="仿宋"/>
          <w:w w:val="95"/>
          <w:sz w:val="32"/>
          <w:szCs w:val="32"/>
          <w:lang w:eastAsia="zh-CN"/>
        </w:rPr>
        <w:t>十二、政府采购预算表</w:t>
      </w:r>
    </w:p>
    <w:p w14:paraId="378A83F9">
      <w:pPr>
        <w:spacing w:line="288"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备注：</w:t>
      </w:r>
    </w:p>
    <w:p w14:paraId="2DEADCDF">
      <w:pPr>
        <w:spacing w:line="288" w:lineRule="auto"/>
        <w:ind w:left="220" w:firstLine="420"/>
        <w:rPr>
          <w:rFonts w:ascii="仿宋_GB2312" w:hAnsi="Times New Roman" w:eastAsia="仿宋_GB2312"/>
          <w:sz w:val="32"/>
          <w:szCs w:val="32"/>
        </w:rPr>
      </w:pPr>
      <w:r>
        <w:rPr>
          <w:rFonts w:hint="eastAsia" w:ascii="仿宋_GB2312" w:hAnsi="Times New Roman" w:eastAsia="仿宋_GB2312"/>
          <w:sz w:val="32"/>
          <w:szCs w:val="32"/>
        </w:rPr>
        <w:t>1、预算公开表见附表</w:t>
      </w:r>
    </w:p>
    <w:p w14:paraId="64FF25AB">
      <w:pPr>
        <w:ind w:left="220" w:firstLine="420"/>
        <w:rPr>
          <w:rFonts w:ascii="宋体" w:hAnsi="宋体"/>
          <w:color w:val="000000"/>
          <w:kern w:val="0"/>
          <w:sz w:val="18"/>
          <w:szCs w:val="18"/>
          <w:highlight w:val="red"/>
        </w:rPr>
      </w:pPr>
      <w:r>
        <w:rPr>
          <w:rFonts w:hint="eastAsia" w:ascii="仿宋_GB2312" w:hAnsi="Times New Roman" w:eastAsia="仿宋_GB2312"/>
          <w:sz w:val="32"/>
          <w:szCs w:val="32"/>
        </w:rPr>
        <w:t>2、按预算公开编制要求，预算公开报告及公开表的计数单位为万元，而2026年预算编制是以元为计数单位，因此小数点后第二位存在四舍五入的差异。</w:t>
      </w:r>
    </w:p>
    <w:p w14:paraId="053BFDC9"/>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2" w:usb3="00000000" w:csb0="0016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A6EF2">
    <w:pPr>
      <w:spacing w:before="1" w:line="179" w:lineRule="auto"/>
      <w:ind w:left="4123"/>
      <w:rPr>
        <w:rFonts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C17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9FB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FEC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37181389"/>
    <w:multiLevelType w:val="singleLevel"/>
    <w:tmpl w:val="3718138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BA"/>
    <w:rsid w:val="000A17BA"/>
    <w:rsid w:val="001503CF"/>
    <w:rsid w:val="00252AD7"/>
    <w:rsid w:val="00405783"/>
    <w:rsid w:val="00435F27"/>
    <w:rsid w:val="005B2012"/>
    <w:rsid w:val="005F451E"/>
    <w:rsid w:val="00607775"/>
    <w:rsid w:val="00623111"/>
    <w:rsid w:val="007207DC"/>
    <w:rsid w:val="00746CDA"/>
    <w:rsid w:val="007C5B9A"/>
    <w:rsid w:val="007F0F2F"/>
    <w:rsid w:val="00A05BD2"/>
    <w:rsid w:val="00A17742"/>
    <w:rsid w:val="00BF76A3"/>
    <w:rsid w:val="00C2271D"/>
    <w:rsid w:val="00F33FF1"/>
    <w:rsid w:val="00FC24D3"/>
    <w:rsid w:val="00FC3B7D"/>
    <w:rsid w:val="00FC783F"/>
    <w:rsid w:val="1A2B2477"/>
    <w:rsid w:val="392A6EBE"/>
    <w:rsid w:val="52027A91"/>
    <w:rsid w:val="68E05EB8"/>
    <w:rsid w:val="7861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3"/>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5"/>
    <w:qFormat/>
    <w:uiPriority w:val="0"/>
    <w:pPr>
      <w:ind w:firstLine="420"/>
      <w:jc w:val="left"/>
    </w:pPr>
    <w:rPr>
      <w:rFonts w:hint="eastAsia" w:ascii="宋体" w:hAnsi="宋体" w:eastAsia="宋体"/>
      <w:kern w:val="0"/>
      <w:sz w:val="24"/>
    </w:rPr>
  </w:style>
  <w:style w:type="paragraph" w:styleId="3">
    <w:name w:val="Body Text Indent"/>
    <w:basedOn w:val="1"/>
    <w:link w:val="14"/>
    <w:semiHidden/>
    <w:unhideWhenUsed/>
    <w:uiPriority w:val="99"/>
    <w:pPr>
      <w:spacing w:after="120"/>
      <w:ind w:left="420" w:leftChars="200"/>
    </w:pPr>
  </w:style>
  <w:style w:type="paragraph" w:styleId="5">
    <w:name w:val="Body Text"/>
    <w:basedOn w:val="1"/>
    <w:link w:val="16"/>
    <w:semiHidden/>
    <w:qFormat/>
    <w:uiPriority w:val="0"/>
    <w:rPr>
      <w:rFonts w:ascii="Arial" w:hAnsi="Arial" w:eastAsia="Arial" w:cs="Arial"/>
      <w:szCs w:val="21"/>
      <w:lang w:eastAsia="en-US"/>
    </w:rPr>
  </w:style>
  <w:style w:type="paragraph" w:styleId="6">
    <w:name w:val="Balloon Text"/>
    <w:basedOn w:val="1"/>
    <w:link w:val="18"/>
    <w:semiHidden/>
    <w:unhideWhenUsed/>
    <w:uiPriority w:val="99"/>
    <w:rPr>
      <w:sz w:val="18"/>
      <w:szCs w:val="18"/>
    </w:rPr>
  </w:style>
  <w:style w:type="paragraph" w:styleId="7">
    <w:name w:val="footer"/>
    <w:basedOn w:val="1"/>
    <w:link w:val="12"/>
    <w:unhideWhenUsed/>
    <w:qFormat/>
    <w:uiPriority w:val="0"/>
    <w:pPr>
      <w:tabs>
        <w:tab w:val="center" w:pos="4153"/>
        <w:tab w:val="right" w:pos="8306"/>
      </w:tabs>
      <w:snapToGrid w:val="0"/>
      <w:jc w:val="left"/>
    </w:pPr>
    <w:rPr>
      <w:sz w:val="18"/>
      <w:szCs w:val="18"/>
    </w:rPr>
  </w:style>
  <w:style w:type="paragraph" w:styleId="8">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uiPriority w:val="99"/>
    <w:rPr>
      <w:sz w:val="18"/>
      <w:szCs w:val="18"/>
    </w:rPr>
  </w:style>
  <w:style w:type="character" w:customStyle="1" w:styleId="12">
    <w:name w:val="页脚 Char"/>
    <w:basedOn w:val="10"/>
    <w:link w:val="7"/>
    <w:uiPriority w:val="99"/>
    <w:rPr>
      <w:sz w:val="18"/>
      <w:szCs w:val="18"/>
    </w:rPr>
  </w:style>
  <w:style w:type="character" w:customStyle="1" w:styleId="13">
    <w:name w:val="标题 2 Char"/>
    <w:basedOn w:val="10"/>
    <w:link w:val="4"/>
    <w:uiPriority w:val="1"/>
    <w:rPr>
      <w:rFonts w:ascii="Arial" w:hAnsi="Arial" w:eastAsia="Symbol"/>
      <w:b/>
      <w:bCs/>
      <w:sz w:val="32"/>
      <w:szCs w:val="32"/>
    </w:rPr>
  </w:style>
  <w:style w:type="character" w:customStyle="1" w:styleId="14">
    <w:name w:val="正文文本缩进 Char"/>
    <w:basedOn w:val="10"/>
    <w:link w:val="3"/>
    <w:semiHidden/>
    <w:uiPriority w:val="99"/>
    <w:rPr>
      <w:szCs w:val="24"/>
    </w:rPr>
  </w:style>
  <w:style w:type="character" w:customStyle="1" w:styleId="15">
    <w:name w:val="正文首行缩进 2 Char"/>
    <w:basedOn w:val="14"/>
    <w:link w:val="2"/>
    <w:uiPriority w:val="0"/>
    <w:rPr>
      <w:rFonts w:ascii="宋体" w:hAnsi="宋体" w:eastAsia="宋体"/>
      <w:kern w:val="0"/>
      <w:sz w:val="24"/>
      <w:szCs w:val="24"/>
    </w:rPr>
  </w:style>
  <w:style w:type="character" w:customStyle="1" w:styleId="16">
    <w:name w:val="正文文本 Char"/>
    <w:basedOn w:val="10"/>
    <w:link w:val="5"/>
    <w:semiHidden/>
    <w:qFormat/>
    <w:uiPriority w:val="0"/>
    <w:rPr>
      <w:rFonts w:ascii="Arial" w:hAnsi="Arial" w:eastAsia="Arial" w:cs="Arial"/>
      <w:szCs w:val="21"/>
      <w:lang w:eastAsia="en-US"/>
    </w:rPr>
  </w:style>
  <w:style w:type="table" w:customStyle="1" w:styleId="17">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8">
    <w:name w:val="批注框文本 Char"/>
    <w:basedOn w:val="10"/>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rgbClr val="4874CB"/>
              </a:solidFill>
              <a:ln>
                <a:solidFill>
                  <a:sysClr val="window" lastClr="FFFFFF"/>
                </a:solidFill>
              </a:ln>
              <a:effectLst/>
            </c:spPr>
          </c:dPt>
          <c:dPt>
            <c:idx val="1"/>
            <c:bubble3D val="0"/>
            <c:spPr>
              <a:solidFill>
                <a:srgbClr val="EE822F"/>
              </a:solidFill>
              <a:ln>
                <a:solidFill>
                  <a:sysClr val="window" lastClr="FFFFFF"/>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rgbClr val="4874CB"/>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rgbClr val="EE822F"/>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rgbClr val="4874CB"/>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2095.2</c:v>
                </c:pt>
                <c:pt idx="1">
                  <c:v>1175</c:v>
                </c:pt>
                <c:pt idx="2">
                  <c:v>817.7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55c57fd8-ba2b-493c-8e16-a7af1d12afe7}"/>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支出预算构成</c:f>
              <c:strCache>
                <c:ptCount val="1"/>
                <c:pt idx="0">
                  <c:v>支出预算构成</c:v>
                </c:pt>
              </c:strCache>
            </c:strRef>
          </c:tx>
          <c:explosion val="0"/>
          <c:dPt>
            <c:idx val="0"/>
            <c:bubble3D val="0"/>
            <c:spPr>
              <a:solidFill>
                <a:srgbClr val="4874CB"/>
              </a:solidFill>
              <a:ln>
                <a:solidFill>
                  <a:sysClr val="window" lastClr="FFFFFF"/>
                </a:solidFill>
              </a:ln>
              <a:effectLst/>
            </c:spPr>
          </c:dPt>
          <c:dPt>
            <c:idx val="1"/>
            <c:bubble3D val="0"/>
            <c:spPr>
              <a:solidFill>
                <a:srgbClr val="EE822F"/>
              </a:solidFill>
              <a:ln>
                <a:solidFill>
                  <a:sysClr val="window" lastClr="FFFFFF"/>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rgbClr val="4874CB"/>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rgbClr val="EE822F"/>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rgbClr val="4874CB"/>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1513.7</c:v>
                </c:pt>
                <c:pt idx="1">
                  <c:v>581.5</c:v>
                </c:pt>
                <c:pt idx="2">
                  <c:v>1992.7</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718d735a-a9c3-421d-a962-dc60ca84989c}"/>
      </c:ext>
    </c:extLst>
  </c:chart>
  <c:spPr>
    <a:solidFill>
      <a:sysClr val="window" lastClr="FFFFFF">
        <a:alpha val="97000"/>
      </a:sysClr>
    </a:solidFill>
    <a:ln w="9525" cap="flat" cmpd="sng" algn="ctr">
      <a:solidFill>
        <a:sysClr val="windowText" lastClr="000000">
          <a:lumMod val="15000"/>
          <a:lumOff val="85000"/>
        </a:sys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Sky123.Org</Company>
  <Pages>20</Pages>
  <Words>1491</Words>
  <Characters>1574</Characters>
  <Lines>59</Lines>
  <Paragraphs>16</Paragraphs>
  <TotalTime>0</TotalTime>
  <ScaleCrop>false</ScaleCrop>
  <LinksUpToDate>false</LinksUpToDate>
  <CharactersWithSpaces>1612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2026-02-14T06:55:00Z</dcterms:created>
  <dc:creator>Sky123.Org</dc:creator>
  <cp:lastModifiedBy>Tong</cp:lastModifiedBy>
  <dcterms:modified xsi:type="dcterms:W3CDTF">2026-02-26T07:43:53Z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eyJoZGlkIjoiY2Y1ZTBlZDA1MzBjYTg0MmI5YzQ0MDhlNGM4MjNmNzQiLCJ1c2VySWQiOiI0MTQ2NTc2NTEifQ==</vt:lpwstr>
  </property>
  <property fmtid="{D5CDD505-2E9C-101B-9397-08002B2CF9AE}" pid="3" name="KSOProductBuildVer">
    <vt:lpwstr>2052-12.1.0.24657</vt:lpwstr>
  </property>
  <property fmtid="{D5CDD505-2E9C-101B-9397-08002B2CF9AE}" pid="4" name="ICV">
    <vt:lpwstr>B2C2FDA797CE43459B9F4568684B8ED5_12</vt:lpwstr>
  </property>
</Properties>
</file>